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1DC886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亳蒙高速一期管理区安全整治工程围墙施工劳务采购项目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AHTKJS-2026-008号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2026年3</w:t>
      </w:r>
      <w:r>
        <w:rPr>
          <w:rFonts w:hint="eastAsia" w:ascii="Times New Roman" w:hAnsi="Times New Roman" w:eastAsia="楷体" w:cs="Times New Roman"/>
          <w:kern w:val="0"/>
          <w:sz w:val="32"/>
          <w:szCs w:val="32"/>
          <w:highlight w:val="none"/>
          <w:u w:val="none"/>
          <w:shd w:val="clear" w:color="auto" w:fill="auto"/>
          <w:lang w:val="en-US" w:eastAsia="zh-CN"/>
        </w:rPr>
        <w:t>月5日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亳蒙高速一期管理区安全整治工程围墙施工劳务采购项目</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4B10BF2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亳蒙高速一期管理区安全整治工程围墙施工劳务采购项目</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AHTKJS-2026-008号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26D9F1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color w:val="FF0000"/>
          <w:sz w:val="28"/>
          <w:szCs w:val="28"/>
          <w:highlight w:val="none"/>
          <w:lang w:val="en-US" w:eastAsia="zh-CN"/>
        </w:rPr>
        <w:t xml:space="preserve"> 350元/m </w:t>
      </w:r>
      <w:permEnd w:id="8"/>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供应商根据附件采购清单按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固定单价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493C290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kern w:val="2"/>
          <w:sz w:val="28"/>
          <w:szCs w:val="28"/>
          <w:highlight w:val="none"/>
          <w:lang w:val="en-US" w:eastAsia="zh-CN"/>
        </w:rPr>
        <w:t>本次采购范围为管理区围墙施工劳务分包，按照施工图纸、采购清单及采购人要求，采购人提供主材（包含混凝土、砖、砂、水泥、围栏），其他一切事宜由成交人承担，包括但不限于完成项目围墙测量放线标高复核、基础开挖、分层夯实、降排水、基础垫层、圈梁混凝土浇筑、模板支撑、墙体砌筑、抹灰、材料二次倒运、预埋φ70钢套管、铁艺栏杆安装等全部人工、辅材、机械（包括不限于发电机、水泵、搅拌机、小挖机、平板夯等）及完成本项目施工作业所需的一切准备工作，及后期设计变更、业主及采购人要求增加、工程联系单等要求的增加的施工内容。具体施工内容以设计图纸、工程量清单为准。供应商响应前请自行现场勘察了解情况，响应时我方认为供应商已充分了解工程概况。</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自合同签订之日起60日历天。</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宋体" w:hAnsi="宋体" w:eastAsia="宋体" w:cs="宋体"/>
          <w:color w:val="auto"/>
          <w:kern w:val="2"/>
          <w:sz w:val="28"/>
          <w:szCs w:val="28"/>
          <w:highlight w:val="none"/>
          <w:lang w:val="en-US" w:eastAsia="zh-CN"/>
        </w:rPr>
        <w:t>亳州市</w:t>
      </w:r>
      <w:r>
        <w:rPr>
          <w:rFonts w:hint="eastAsia" w:asciiTheme="minorEastAsia" w:hAnsiTheme="minorEastAsia" w:eastAsiaTheme="minorEastAsia" w:cstheme="minorEastAsia"/>
          <w:kern w:val="2"/>
          <w:sz w:val="28"/>
          <w:szCs w:val="28"/>
          <w:highlight w:val="none"/>
          <w:lang w:val="en-US" w:eastAsia="zh-CN"/>
        </w:rPr>
        <w:t>涡阳县标里镇</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EE5C9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具有独立法人资格，并在人员、设备、施工机具、资金等方面具有承担本工程施工的能力。</w:t>
      </w:r>
    </w:p>
    <w:p w14:paraId="03E467A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lang w:val="en-US" w:eastAsia="zh-CN"/>
        </w:rPr>
      </w:pPr>
      <w:r>
        <w:rPr>
          <w:rFonts w:hint="eastAsia" w:asciiTheme="minorEastAsia" w:hAnsiTheme="minorEastAsia" w:eastAsiaTheme="minorEastAsia" w:cstheme="minorEastAsia"/>
          <w:kern w:val="2"/>
          <w:sz w:val="28"/>
          <w:szCs w:val="28"/>
          <w:highlight w:val="none"/>
          <w:lang w:val="en-US" w:eastAsia="zh-CN"/>
        </w:rPr>
        <w:t>（二）具有有效的施工劳务资质;具有有效的安全生产许可证。</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w:t>
      </w:r>
      <w:permStart w:id="14" w:edGrp="everyone"/>
      <w:r>
        <w:rPr>
          <w:rFonts w:hint="eastAsia" w:asciiTheme="minorEastAsia" w:hAnsiTheme="minorEastAsia" w:eastAsiaTheme="minorEastAsia" w:cstheme="minorEastAsia"/>
          <w:kern w:val="2"/>
          <w:sz w:val="28"/>
          <w:szCs w:val="28"/>
          <w:highlight w:val="none"/>
          <w:u w:val="single"/>
          <w:lang w:val="en-US" w:eastAsia="zh-CN"/>
        </w:rPr>
        <w:t>2023</w:t>
      </w:r>
      <w:permEnd w:id="14"/>
      <w:r>
        <w:rPr>
          <w:rFonts w:hint="eastAsia" w:asciiTheme="minorEastAsia" w:hAnsiTheme="minorEastAsia" w:eastAsiaTheme="minorEastAsia" w:cstheme="minorEastAsia"/>
          <w:kern w:val="2"/>
          <w:sz w:val="28"/>
          <w:szCs w:val="28"/>
          <w:highlight w:val="none"/>
          <w:lang w:val="en-US" w:eastAsia="zh-CN"/>
        </w:rPr>
        <w:t>年至今企业类似项目业绩</w:t>
      </w:r>
      <w:permStart w:id="15" w:edGrp="everyone"/>
      <w:r>
        <w:rPr>
          <w:rFonts w:hint="eastAsia" w:asciiTheme="minorEastAsia" w:hAnsiTheme="minorEastAsia" w:eastAsiaTheme="minorEastAsia" w:cstheme="minorEastAsia"/>
          <w:kern w:val="2"/>
          <w:sz w:val="28"/>
          <w:szCs w:val="28"/>
          <w:highlight w:val="none"/>
          <w:u w:val="single"/>
          <w:lang w:val="en-US" w:eastAsia="zh-CN"/>
        </w:rPr>
        <w:t>1</w:t>
      </w:r>
      <w:permEnd w:id="15"/>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6" w:edGrp="everyone"/>
      <w:r>
        <w:rPr>
          <w:rFonts w:hint="eastAsia" w:asciiTheme="minorEastAsia" w:hAnsiTheme="minorEastAsia" w:eastAsiaTheme="minorEastAsia" w:cstheme="minorEastAsia"/>
          <w:kern w:val="2"/>
          <w:sz w:val="28"/>
          <w:szCs w:val="28"/>
          <w:highlight w:val="none"/>
          <w:lang w:val="en-US" w:eastAsia="zh-CN"/>
        </w:rPr>
        <w:t>合同签订时间</w:t>
      </w:r>
      <w:permEnd w:id="16"/>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7" w:edGrp="everyone"/>
      <w:r>
        <w:rPr>
          <w:rFonts w:hint="eastAsia" w:asciiTheme="minorEastAsia" w:hAnsiTheme="minorEastAsia" w:eastAsiaTheme="minorEastAsia" w:cstheme="minorEastAsia"/>
          <w:kern w:val="2"/>
          <w:sz w:val="28"/>
          <w:szCs w:val="28"/>
          <w:highlight w:val="none"/>
          <w:u w:val="single"/>
          <w:lang w:val="en-US" w:eastAsia="zh-CN"/>
        </w:rPr>
        <w:t>合同金额不低于15万元的围墙施工劳务业绩</w:t>
      </w:r>
      <w:permEnd w:id="17"/>
      <w:r>
        <w:rPr>
          <w:rFonts w:hint="eastAsia" w:asciiTheme="minorEastAsia" w:hAnsiTheme="minorEastAsia" w:eastAsiaTheme="minorEastAsia" w:cstheme="minorEastAsia"/>
          <w:sz w:val="28"/>
          <w:szCs w:val="28"/>
          <w:highlight w:val="none"/>
          <w:lang w:val="en-US" w:eastAsia="zh-CN"/>
        </w:rPr>
        <w:t>；</w:t>
      </w:r>
    </w:p>
    <w:p w14:paraId="608D15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kern w:val="2"/>
          <w:sz w:val="28"/>
          <w:szCs w:val="28"/>
          <w:highlight w:val="none"/>
          <w:lang w:val="en-US" w:eastAsia="zh-CN"/>
        </w:rPr>
        <w:t>提供业绩合同</w:t>
      </w:r>
      <w:r>
        <w:rPr>
          <w:rFonts w:hint="eastAsia" w:asciiTheme="minorEastAsia" w:hAnsiTheme="minorEastAsia" w:eastAsiaTheme="minorEastAsia" w:cstheme="minorEastAsia"/>
          <w:kern w:val="2"/>
          <w:sz w:val="28"/>
          <w:szCs w:val="28"/>
          <w:highlight w:val="none"/>
          <w:lang w:val="en-US" w:eastAsia="zh-CN"/>
        </w:rPr>
        <w:t>等相关资料</w:t>
      </w:r>
      <w:r>
        <w:rPr>
          <w:rFonts w:hint="default" w:asciiTheme="minorEastAsia" w:hAnsiTheme="minorEastAsia" w:eastAsiaTheme="minorEastAsia" w:cstheme="minorEastAsia"/>
          <w:kern w:val="2"/>
          <w:sz w:val="28"/>
          <w:szCs w:val="28"/>
          <w:highlight w:val="none"/>
          <w:lang w:val="en-US" w:eastAsia="zh-CN"/>
        </w:rPr>
        <w:t>复印件或扫描件装订入</w:t>
      </w:r>
      <w:r>
        <w:rPr>
          <w:rFonts w:hint="eastAsia" w:asciiTheme="minorEastAsia" w:hAnsiTheme="minorEastAsia" w:eastAsiaTheme="minorEastAsia" w:cstheme="minorEastAsia"/>
          <w:kern w:val="2"/>
          <w:sz w:val="28"/>
          <w:szCs w:val="28"/>
          <w:highlight w:val="none"/>
          <w:lang w:val="en-US" w:eastAsia="zh-CN"/>
        </w:rPr>
        <w:t>响应文件</w:t>
      </w:r>
      <w:r>
        <w:rPr>
          <w:rFonts w:hint="default" w:asciiTheme="minorEastAsia" w:hAnsiTheme="minorEastAsia" w:eastAsiaTheme="minorEastAsia" w:cstheme="minorEastAsia"/>
          <w:kern w:val="2"/>
          <w:sz w:val="28"/>
          <w:szCs w:val="28"/>
          <w:highlight w:val="none"/>
          <w:lang w:val="en-US" w:eastAsia="zh-CN"/>
        </w:rPr>
        <w:t>中</w:t>
      </w:r>
      <w:permEnd w:id="18"/>
      <w:r>
        <w:rPr>
          <w:rFonts w:hint="default" w:asciiTheme="minorEastAsia" w:hAnsiTheme="minorEastAsia" w:eastAsiaTheme="minorEastAsia" w:cstheme="minorEastAsia"/>
          <w:kern w:val="2"/>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9"/>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21"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3</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13</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10</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21"/>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2"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2"/>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3"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23"/>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4" w:edGrp="everyone"/>
      <w:r>
        <w:rPr>
          <w:rFonts w:hint="eastAsia" w:asciiTheme="minorEastAsia" w:hAnsiTheme="minorEastAsia" w:cstheme="minorEastAsia"/>
          <w:color w:val="FF0000"/>
          <w:sz w:val="28"/>
          <w:szCs w:val="28"/>
          <w:highlight w:val="none"/>
          <w:u w:val="single"/>
          <w:lang w:val="en-US" w:eastAsia="zh-CN"/>
        </w:rPr>
        <w:t>4200.00元</w:t>
      </w:r>
      <w:r>
        <w:rPr>
          <w:rFonts w:hint="default" w:asciiTheme="minorEastAsia" w:hAnsiTheme="minorEastAsia" w:eastAsiaTheme="minorEastAsia" w:cstheme="minorEastAsia"/>
          <w:color w:val="FF0000"/>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5"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5"/>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王经理 </w:t>
      </w:r>
      <w:permEnd w:id="26"/>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日</w:t>
      </w:r>
    </w:p>
    <w:permEnd w:id="27"/>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3</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13</w:t>
            </w:r>
            <w:r>
              <w:rPr>
                <w:rFonts w:hint="eastAsia" w:ascii="Times New Roman" w:hAnsi="Times New Roman" w:cs="Times New Roman"/>
                <w:b/>
                <w:bCs/>
                <w:color w:val="FF0000"/>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2"/>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b/>
                <w:bCs/>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5" w:edGrp="everyone"/>
            <w:r>
              <w:rPr>
                <w:rFonts w:hint="eastAsia" w:ascii="Times New Roman" w:hAnsi="Times New Roman" w:cs="Times New Roman"/>
                <w:b/>
                <w:bCs/>
                <w:color w:val="FF0000"/>
                <w:szCs w:val="21"/>
                <w:highlight w:val="none"/>
                <w:u w:val="single"/>
                <w:lang w:val="en-US" w:eastAsia="zh-CN"/>
              </w:rPr>
              <w:t xml:space="preserve"> 4200元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b/>
                <w:bCs/>
                <w:color w:val="FF0000"/>
                <w:szCs w:val="21"/>
                <w:highlight w:val="none"/>
                <w:lang w:val="en-US" w:eastAsia="zh-CN"/>
              </w:rPr>
              <w:t>AHTKJS-2026-008号保证金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亳蒙高速一期管理区安全整治工程围墙施工劳务采购项目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项目编号：AHTKJS-2026-008号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3</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13</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17" w:name="_GoBack"/>
            <w:bookmarkEnd w:id="317"/>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1"/>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lang w:val="en-US" w:eastAsia="zh-CN"/>
              </w:rPr>
              <w:t>同响应保证金</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7085692"/>
      <w:bookmarkStart w:id="1" w:name="_Toc179632549"/>
      <w:bookmarkStart w:id="2" w:name="_Toc246996178"/>
      <w:bookmarkStart w:id="3" w:name="_Toc144974500"/>
      <w:bookmarkStart w:id="4" w:name="_Toc152045532"/>
      <w:bookmarkStart w:id="5" w:name="_Toc246996921"/>
      <w:bookmarkStart w:id="6" w:name="_Toc296602423"/>
      <w:bookmarkStart w:id="7" w:name="_Toc15204230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179632553"/>
      <w:bookmarkStart w:id="10" w:name="_Toc247085695"/>
      <w:bookmarkStart w:id="11" w:name="_Toc152045536"/>
      <w:bookmarkStart w:id="12" w:name="_Toc152042312"/>
      <w:bookmarkStart w:id="13" w:name="_Toc246996924"/>
      <w:bookmarkStart w:id="14" w:name="_Toc144974504"/>
      <w:bookmarkStart w:id="15" w:name="_Toc246996181"/>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152045537"/>
      <w:bookmarkStart w:id="19" w:name="_Toc179632554"/>
      <w:bookmarkStart w:id="20" w:name="_Toc152042313"/>
      <w:bookmarkStart w:id="21" w:name="_Toc246996925"/>
      <w:bookmarkStart w:id="22" w:name="_Toc246996182"/>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246996183"/>
      <w:bookmarkStart w:id="26" w:name="_Toc179632555"/>
      <w:bookmarkStart w:id="27" w:name="_Toc246996926"/>
      <w:bookmarkStart w:id="28" w:name="_Toc152042314"/>
      <w:bookmarkStart w:id="29" w:name="_Toc144974506"/>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247085701"/>
      <w:bookmarkStart w:id="33" w:name="_Toc246996930"/>
      <w:bookmarkStart w:id="34" w:name="_Toc296602432"/>
      <w:bookmarkStart w:id="35" w:name="_Toc152042318"/>
      <w:bookmarkStart w:id="36" w:name="_Toc246996187"/>
      <w:bookmarkStart w:id="37" w:name="_Toc179632560"/>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79632561"/>
      <w:bookmarkStart w:id="40" w:name="_Toc246996188"/>
      <w:bookmarkStart w:id="41" w:name="_Toc152042319"/>
      <w:bookmarkStart w:id="42" w:name="_Toc152045543"/>
      <w:bookmarkStart w:id="43" w:name="_Toc144974511"/>
      <w:bookmarkStart w:id="44" w:name="_Toc247085702"/>
      <w:bookmarkStart w:id="45" w:name="_Toc246996931"/>
      <w:bookmarkStart w:id="46" w:name="_Toc29660243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152042320"/>
      <w:bookmarkStart w:id="49" w:name="_Toc246996932"/>
      <w:bookmarkStart w:id="50" w:name="_Toc296602434"/>
      <w:bookmarkStart w:id="51" w:name="_Toc246996189"/>
      <w:bookmarkStart w:id="52" w:name="_Toc152045544"/>
      <w:bookmarkStart w:id="53" w:name="_Toc179632562"/>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179632563"/>
      <w:bookmarkStart w:id="57" w:name="_Toc152042321"/>
      <w:bookmarkStart w:id="58" w:name="_Toc247085704"/>
      <w:bookmarkStart w:id="59" w:name="_Toc152045545"/>
      <w:bookmarkStart w:id="60" w:name="_Toc246996933"/>
      <w:bookmarkStart w:id="61" w:name="_Toc246996190"/>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191"/>
      <w:bookmarkStart w:id="64" w:name="_Toc247085705"/>
      <w:bookmarkStart w:id="65" w:name="_Toc152045546"/>
      <w:bookmarkStart w:id="66" w:name="_Toc144974514"/>
      <w:bookmarkStart w:id="67" w:name="_Toc296602436"/>
      <w:bookmarkStart w:id="68" w:name="_Toc179632564"/>
      <w:bookmarkStart w:id="69" w:name="_Toc246996934"/>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79632565"/>
      <w:bookmarkStart w:id="72" w:name="_Toc247085706"/>
      <w:bookmarkStart w:id="73" w:name="_Toc152042323"/>
      <w:bookmarkStart w:id="74" w:name="_Toc296602437"/>
      <w:bookmarkStart w:id="75" w:name="_Toc152045547"/>
      <w:bookmarkStart w:id="76" w:name="_Toc246996192"/>
      <w:bookmarkStart w:id="77" w:name="_Toc144974515"/>
      <w:bookmarkStart w:id="78"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936"/>
      <w:bookmarkStart w:id="80" w:name="_Toc246996193"/>
      <w:bookmarkStart w:id="81" w:name="_Toc179632566"/>
      <w:bookmarkStart w:id="82" w:name="_Toc152042324"/>
      <w:bookmarkStart w:id="83" w:name="_Toc247085707"/>
      <w:bookmarkStart w:id="84" w:name="_Toc144974516"/>
      <w:bookmarkStart w:id="85" w:name="_Toc296602438"/>
      <w:bookmarkStart w:id="86" w:name="_Toc15204554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2325"/>
      <w:bookmarkStart w:id="89" w:name="_Toc152045549"/>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6996937"/>
      <w:bookmarkStart w:id="93" w:name="_Toc296602439"/>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79632573"/>
      <w:bookmarkStart w:id="96" w:name="_Toc152042331"/>
      <w:bookmarkStart w:id="97" w:name="_Toc247085713"/>
      <w:bookmarkStart w:id="98" w:name="_Toc152045555"/>
      <w:bookmarkStart w:id="99" w:name="_Toc246996942"/>
      <w:bookmarkStart w:id="100" w:name="_Toc144974523"/>
      <w:bookmarkStart w:id="101" w:name="_Toc296602443"/>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96602444"/>
      <w:bookmarkStart w:id="105" w:name="_Toc179632574"/>
      <w:bookmarkStart w:id="106" w:name="_Toc246996943"/>
      <w:bookmarkStart w:id="107" w:name="_Toc152042332"/>
      <w:bookmarkStart w:id="108" w:name="_Toc144974524"/>
      <w:bookmarkStart w:id="109" w:name="_Toc152045556"/>
      <w:bookmarkStart w:id="110" w:name="_Toc24708571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179632575"/>
      <w:bookmarkStart w:id="113" w:name="_Toc144974525"/>
      <w:bookmarkStart w:id="114" w:name="_Toc247085715"/>
      <w:bookmarkStart w:id="115" w:name="_Toc152042333"/>
      <w:bookmarkStart w:id="116" w:name="_Toc246996201"/>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246996202"/>
      <w:bookmarkStart w:id="120" w:name="_Toc246996945"/>
      <w:bookmarkStart w:id="121" w:name="_Toc144974526"/>
      <w:bookmarkStart w:id="122" w:name="_Toc179632576"/>
      <w:bookmarkStart w:id="123" w:name="_Toc152045558"/>
      <w:bookmarkStart w:id="124" w:name="_Toc296602446"/>
      <w:bookmarkStart w:id="125" w:name="_Toc24708571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144974527"/>
      <w:bookmarkStart w:id="128" w:name="_Toc246996946"/>
      <w:bookmarkStart w:id="129" w:name="_Toc246996203"/>
      <w:bookmarkStart w:id="130" w:name="_Toc152042335"/>
      <w:bookmarkStart w:id="131" w:name="_Toc296602447"/>
      <w:bookmarkStart w:id="132" w:name="_Toc179632577"/>
      <w:bookmarkStart w:id="133" w:name="_Toc152045559"/>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4"/>
      <w:bookmarkStart w:id="135" w:name="_Toc296602448"/>
      <w:bookmarkStart w:id="136" w:name="_Toc152045560"/>
      <w:bookmarkStart w:id="137" w:name="_Toc144974528"/>
      <w:bookmarkStart w:id="138" w:name="_Toc179632578"/>
      <w:bookmarkStart w:id="139" w:name="_Toc247085718"/>
      <w:bookmarkStart w:id="140" w:name="_Toc246996947"/>
      <w:bookmarkStart w:id="141"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152042337"/>
      <w:bookmarkStart w:id="144" w:name="_Toc247085719"/>
      <w:bookmarkStart w:id="145" w:name="_Toc296602449"/>
      <w:bookmarkStart w:id="146" w:name="_Toc246996205"/>
      <w:bookmarkStart w:id="147" w:name="_Toc144974529"/>
      <w:bookmarkStart w:id="148" w:name="_Toc246996948"/>
      <w:bookmarkStart w:id="149" w:name="_Toc17963257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246996207"/>
      <w:bookmarkStart w:id="152" w:name="_Toc179632581"/>
      <w:bookmarkStart w:id="153" w:name="_Toc246996950"/>
      <w:bookmarkStart w:id="154" w:name="_Toc296602452"/>
      <w:bookmarkStart w:id="155" w:name="_Toc152045563"/>
      <w:bookmarkStart w:id="156" w:name="_Toc247085721"/>
      <w:bookmarkStart w:id="157" w:name="_Toc152042339"/>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179632584"/>
      <w:bookmarkStart w:id="160" w:name="_Toc296602455"/>
      <w:bookmarkStart w:id="161" w:name="_Toc247085724"/>
      <w:bookmarkStart w:id="162" w:name="_Toc246996210"/>
      <w:bookmarkStart w:id="163" w:name="_Toc246996953"/>
      <w:bookmarkStart w:id="164" w:name="_Toc152045566"/>
      <w:bookmarkStart w:id="165" w:name="_Toc14497453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144974535"/>
      <w:bookmarkStart w:id="168" w:name="_Toc152042343"/>
      <w:bookmarkStart w:id="169" w:name="_Toc296602456"/>
      <w:bookmarkStart w:id="170" w:name="_Toc246996211"/>
      <w:bookmarkStart w:id="171" w:name="_Toc152045567"/>
      <w:bookmarkStart w:id="172" w:name="_Toc247085725"/>
      <w:bookmarkStart w:id="173" w:name="_Toc246996954"/>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152045568"/>
      <w:bookmarkStart w:id="177" w:name="_Toc296602458"/>
      <w:bookmarkStart w:id="178" w:name="_Toc247085726"/>
      <w:bookmarkStart w:id="179" w:name="_Toc144974536"/>
      <w:bookmarkStart w:id="180" w:name="_Toc179632586"/>
      <w:bookmarkStart w:id="181" w:name="_Toc246996212"/>
      <w:bookmarkStart w:id="182" w:name="_Toc152042344"/>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5569"/>
      <w:bookmarkStart w:id="184" w:name="_Toc246996213"/>
      <w:bookmarkStart w:id="185" w:name="_Toc179632587"/>
      <w:bookmarkStart w:id="186" w:name="_Toc152042345"/>
      <w:bookmarkStart w:id="187" w:name="_Toc247085727"/>
      <w:bookmarkStart w:id="188" w:name="_Toc246996956"/>
      <w:bookmarkStart w:id="189" w:name="_Toc296602459"/>
      <w:bookmarkStart w:id="190" w:name="_Toc14497453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247085733"/>
      <w:bookmarkStart w:id="194" w:name="_Toc246996219"/>
      <w:bookmarkStart w:id="195" w:name="_Toc152045575"/>
      <w:bookmarkStart w:id="196" w:name="_Toc296590983"/>
      <w:bookmarkStart w:id="197" w:name="_Toc246996962"/>
      <w:bookmarkStart w:id="198" w:name="_Toc296602462"/>
      <w:bookmarkStart w:id="199" w:name="_Toc144974543"/>
      <w:bookmarkStart w:id="200" w:name="_Toc17963259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152042352"/>
      <w:bookmarkStart w:id="202" w:name="_Toc179632594"/>
      <w:bookmarkStart w:id="203" w:name="_Toc296602463"/>
      <w:bookmarkStart w:id="204" w:name="_Toc144974544"/>
      <w:bookmarkStart w:id="205" w:name="_Toc152045576"/>
      <w:bookmarkStart w:id="206" w:name="_Toc246996963"/>
      <w:bookmarkStart w:id="207" w:name="_Toc247085734"/>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179632595"/>
      <w:bookmarkStart w:id="211" w:name="_Toc144974545"/>
      <w:bookmarkStart w:id="212" w:name="_Toc152042353"/>
      <w:bookmarkStart w:id="213" w:name="_Toc296602464"/>
      <w:bookmarkStart w:id="214" w:name="_Toc246996221"/>
      <w:bookmarkStart w:id="215" w:name="_Toc247085735"/>
      <w:bookmarkStart w:id="216" w:name="_Toc152045577"/>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44974556"/>
            <w:bookmarkStart w:id="218" w:name="_Toc179632607"/>
            <w:bookmarkStart w:id="219" w:name="_Toc152042366"/>
            <w:bookmarkStart w:id="220" w:name="_Toc246996232"/>
            <w:bookmarkStart w:id="221" w:name="_Toc246996975"/>
            <w:bookmarkStart w:id="222" w:name="_Toc247085747"/>
            <w:bookmarkStart w:id="223" w:name="_Toc152045589"/>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979"/>
      <w:bookmarkStart w:id="226" w:name="_Toc247085751"/>
      <w:bookmarkStart w:id="227" w:name="_Toc296602481"/>
      <w:bookmarkStart w:id="228" w:name="_Toc144974560"/>
      <w:bookmarkStart w:id="229" w:name="_Toc246996236"/>
      <w:bookmarkStart w:id="230" w:name="_Toc152042370"/>
      <w:bookmarkStart w:id="231" w:name="_Toc152045593"/>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96602484"/>
      <w:bookmarkStart w:id="235" w:name="_Toc246996982"/>
      <w:bookmarkStart w:id="236" w:name="_Toc246996239"/>
      <w:bookmarkStart w:id="237" w:name="_Toc247085754"/>
      <w:bookmarkStart w:id="238" w:name="_Toc152042373"/>
      <w:bookmarkStart w:id="239" w:name="_Toc152045596"/>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3F5BF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月支付，采购人每月对成交人上月已完成工程量进行审核，成交人每月实际完成合格工程量以采购人审核为准，采购人次月向成交人支付上月已完成合格工程量的价款80%；交工验收完成并经采购人验收合格后，支付至已完成合格工程量的97%；余款3%作为质保金，待质保期满且工程无质量问题或质量问题已解决后无息支付。</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4B684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3C2C2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6DDAD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09BAA1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自竣工验收合格之日起6个月</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32A60DFB">
      <w:pPr>
        <w:pStyle w:val="2"/>
        <w:ind w:firstLine="560" w:firstLineChars="200"/>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1.采购清单</w:t>
      </w:r>
      <w:r>
        <w:rPr>
          <w:rFonts w:hint="eastAsia" w:asciiTheme="minorEastAsia" w:hAnsiTheme="minorEastAsia" w:cstheme="minorEastAsia"/>
          <w:kern w:val="2"/>
          <w:sz w:val="28"/>
          <w:szCs w:val="28"/>
          <w:highlight w:val="none"/>
          <w:lang w:val="en-US" w:eastAsia="zh-CN" w:bidi="ar-SA"/>
        </w:rPr>
        <w:t>：</w:t>
      </w: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1"/>
        <w:gridCol w:w="1346"/>
        <w:gridCol w:w="648"/>
        <w:gridCol w:w="871"/>
        <w:gridCol w:w="954"/>
        <w:gridCol w:w="1364"/>
        <w:gridCol w:w="1248"/>
        <w:gridCol w:w="1420"/>
      </w:tblGrid>
      <w:tr w14:paraId="7331A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vAlign w:val="center"/>
          </w:tcPr>
          <w:p w14:paraId="36D2AA30">
            <w:pPr>
              <w:keepNext w:val="0"/>
              <w:keepLines w:val="0"/>
              <w:widowControl/>
              <w:suppressLineNumbers w:val="0"/>
              <w:spacing w:line="240" w:lineRule="auto"/>
              <w:ind w:left="0" w:leftChars="0" w:firstLine="0" w:firstLineChars="0"/>
              <w:jc w:val="center"/>
              <w:textAlignment w:val="top"/>
              <w:rPr>
                <w:rFonts w:hint="eastAsia" w:ascii="宋体" w:hAnsi="宋体" w:eastAsia="宋体" w:cs="宋体"/>
                <w:b w:val="0"/>
                <w:bCs w:val="0"/>
                <w:i w:val="0"/>
                <w:iCs w:val="0"/>
                <w:color w:val="000000"/>
                <w:kern w:val="0"/>
                <w:sz w:val="21"/>
                <w:szCs w:val="21"/>
                <w:u w:val="none"/>
                <w:lang w:val="en-US" w:eastAsia="zh-CN" w:bidi="ar"/>
              </w:rPr>
            </w:pPr>
            <w:r>
              <w:rPr>
                <w:rFonts w:ascii="宋体" w:hAnsi="宋体" w:eastAsia="宋体" w:cs="宋体"/>
                <w:i w:val="0"/>
                <w:iCs w:val="0"/>
                <w:color w:val="000000"/>
                <w:kern w:val="0"/>
                <w:sz w:val="21"/>
                <w:szCs w:val="21"/>
                <w:u w:val="none"/>
                <w:lang w:val="en-US" w:eastAsia="zh-CN" w:bidi="ar"/>
              </w:rPr>
              <w:t>项目名称：</w:t>
            </w:r>
            <w:r>
              <w:rPr>
                <w:rFonts w:hint="eastAsia" w:ascii="宋体" w:hAnsi="宋体" w:eastAsia="宋体" w:cs="宋体"/>
                <w:i w:val="0"/>
                <w:iCs w:val="0"/>
                <w:color w:val="000000"/>
                <w:kern w:val="0"/>
                <w:sz w:val="21"/>
                <w:szCs w:val="21"/>
                <w:u w:val="none"/>
                <w:lang w:val="en-US" w:eastAsia="zh-CN" w:bidi="ar"/>
              </w:rPr>
              <w:t>亳蒙高速一期管理区安全整治工程围墙施工劳务采购项目</w:t>
            </w:r>
          </w:p>
        </w:tc>
      </w:tr>
      <w:tr w14:paraId="6EADE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94" w:type="pct"/>
            <w:tcBorders>
              <w:top w:val="single" w:color="auto" w:sz="4" w:space="0"/>
              <w:left w:val="single" w:color="auto" w:sz="4" w:space="0"/>
              <w:bottom w:val="single" w:color="auto" w:sz="4" w:space="0"/>
              <w:right w:val="single" w:color="auto" w:sz="4" w:space="0"/>
            </w:tcBorders>
            <w:shd w:val="clear" w:color="auto" w:fill="auto"/>
            <w:vAlign w:val="center"/>
          </w:tcPr>
          <w:p w14:paraId="005C523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序号</w:t>
            </w:r>
          </w:p>
        </w:tc>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14:paraId="267EE053">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施工项目名称</w:t>
            </w:r>
          </w:p>
        </w:tc>
        <w:tc>
          <w:tcPr>
            <w:tcW w:w="380" w:type="pct"/>
            <w:tcBorders>
              <w:top w:val="single" w:color="auto" w:sz="4" w:space="0"/>
              <w:left w:val="single" w:color="auto" w:sz="4" w:space="0"/>
              <w:bottom w:val="single" w:color="auto" w:sz="4" w:space="0"/>
              <w:right w:val="single" w:color="auto" w:sz="4" w:space="0"/>
            </w:tcBorders>
            <w:shd w:val="clear" w:color="auto" w:fill="auto"/>
            <w:vAlign w:val="center"/>
          </w:tcPr>
          <w:p w14:paraId="02C385D6">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ascii="宋体" w:hAnsi="宋体" w:eastAsia="宋体" w:cs="宋体"/>
                <w:b w:val="0"/>
                <w:bCs w:val="0"/>
                <w:i w:val="0"/>
                <w:iCs w:val="0"/>
                <w:color w:val="000000"/>
                <w:kern w:val="0"/>
                <w:sz w:val="21"/>
                <w:szCs w:val="21"/>
                <w:u w:val="none"/>
                <w:lang w:val="en-US" w:eastAsia="zh-CN" w:bidi="ar"/>
              </w:rPr>
              <w:t>单位</w:t>
            </w:r>
          </w:p>
        </w:tc>
        <w:tc>
          <w:tcPr>
            <w:tcW w:w="511" w:type="pct"/>
            <w:tcBorders>
              <w:top w:val="single" w:color="auto" w:sz="4" w:space="0"/>
              <w:left w:val="single" w:color="auto" w:sz="4" w:space="0"/>
              <w:bottom w:val="single" w:color="auto" w:sz="4" w:space="0"/>
              <w:right w:val="single" w:color="auto" w:sz="4" w:space="0"/>
            </w:tcBorders>
            <w:shd w:val="clear" w:color="auto" w:fill="auto"/>
            <w:vAlign w:val="center"/>
          </w:tcPr>
          <w:p w14:paraId="14ED2F4D">
            <w:pPr>
              <w:keepNext w:val="0"/>
              <w:keepLines w:val="0"/>
              <w:widowControl/>
              <w:suppressLineNumbers w:val="0"/>
              <w:spacing w:line="240" w:lineRule="auto"/>
              <w:ind w:left="0" w:leftChars="0" w:firstLine="0" w:firstLineChars="0"/>
              <w:jc w:val="center"/>
              <w:textAlignment w:val="center"/>
              <w:rPr>
                <w:rFonts w:ascii="宋体" w:hAnsi="宋体" w:eastAsia="宋体" w:cs="宋体"/>
                <w:b w:val="0"/>
                <w:bCs w:val="0"/>
                <w:i w:val="0"/>
                <w:iCs w:val="0"/>
                <w:color w:val="000000"/>
                <w:sz w:val="21"/>
                <w:szCs w:val="21"/>
                <w:u w:val="none"/>
              </w:rPr>
            </w:pPr>
            <w:r>
              <w:rPr>
                <w:rFonts w:ascii="宋体" w:hAnsi="宋体" w:eastAsia="宋体" w:cs="宋体"/>
                <w:b w:val="0"/>
                <w:bCs w:val="0"/>
                <w:i w:val="0"/>
                <w:iCs w:val="0"/>
                <w:color w:val="000000"/>
                <w:kern w:val="0"/>
                <w:sz w:val="21"/>
                <w:szCs w:val="21"/>
                <w:u w:val="none"/>
                <w:lang w:val="en-US" w:eastAsia="zh-CN" w:bidi="ar"/>
              </w:rPr>
              <w:t>数量</w:t>
            </w:r>
          </w:p>
        </w:tc>
        <w:tc>
          <w:tcPr>
            <w:tcW w:w="560" w:type="pct"/>
            <w:tcBorders>
              <w:top w:val="single" w:color="auto" w:sz="4" w:space="0"/>
              <w:left w:val="single" w:color="auto" w:sz="4" w:space="0"/>
              <w:bottom w:val="single" w:color="auto" w:sz="4" w:space="0"/>
              <w:right w:val="single" w:color="auto" w:sz="4" w:space="0"/>
            </w:tcBorders>
            <w:shd w:val="clear" w:color="auto" w:fill="auto"/>
            <w:vAlign w:val="center"/>
          </w:tcPr>
          <w:p w14:paraId="4769B88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单价报价（不含税，元/m）</w:t>
            </w:r>
          </w:p>
        </w:tc>
        <w:tc>
          <w:tcPr>
            <w:tcW w:w="800" w:type="pct"/>
            <w:tcBorders>
              <w:top w:val="single" w:color="auto" w:sz="4" w:space="0"/>
              <w:left w:val="single" w:color="auto" w:sz="4" w:space="0"/>
              <w:bottom w:val="single" w:color="auto" w:sz="4" w:space="0"/>
              <w:right w:val="single" w:color="auto" w:sz="4" w:space="0"/>
            </w:tcBorders>
            <w:shd w:val="clear" w:color="auto" w:fill="auto"/>
            <w:vAlign w:val="center"/>
          </w:tcPr>
          <w:p w14:paraId="01F73F80">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总价（不含税，元）</w:t>
            </w:r>
          </w:p>
        </w:tc>
        <w:tc>
          <w:tcPr>
            <w:tcW w:w="732" w:type="pct"/>
            <w:tcBorders>
              <w:top w:val="single" w:color="auto" w:sz="4" w:space="0"/>
              <w:left w:val="single" w:color="auto" w:sz="4" w:space="0"/>
              <w:bottom w:val="single" w:color="auto" w:sz="4" w:space="0"/>
              <w:right w:val="single" w:color="auto" w:sz="4" w:space="0"/>
            </w:tcBorders>
            <w:shd w:val="clear" w:color="auto" w:fill="auto"/>
            <w:vAlign w:val="center"/>
          </w:tcPr>
          <w:p w14:paraId="237FFDB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税率</w:t>
            </w:r>
          </w:p>
        </w:tc>
        <w:tc>
          <w:tcPr>
            <w:tcW w:w="829" w:type="pct"/>
            <w:tcBorders>
              <w:top w:val="single" w:color="auto" w:sz="4" w:space="0"/>
              <w:left w:val="single" w:color="auto" w:sz="4" w:space="0"/>
              <w:bottom w:val="single" w:color="auto" w:sz="4" w:space="0"/>
              <w:right w:val="single" w:color="auto" w:sz="4" w:space="0"/>
            </w:tcBorders>
            <w:shd w:val="clear" w:color="auto" w:fill="auto"/>
            <w:vAlign w:val="center"/>
          </w:tcPr>
          <w:p w14:paraId="3EFA7E28">
            <w:pPr>
              <w:keepNext w:val="0"/>
              <w:keepLines w:val="0"/>
              <w:widowControl/>
              <w:suppressLineNumbers w:val="0"/>
              <w:spacing w:line="240" w:lineRule="auto"/>
              <w:ind w:left="0" w:leftChars="0" w:firstLine="0" w:firstLineChars="0"/>
              <w:jc w:val="center"/>
              <w:textAlignment w:val="top"/>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备注</w:t>
            </w:r>
          </w:p>
        </w:tc>
      </w:tr>
      <w:tr w14:paraId="5FEA9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394" w:type="pct"/>
            <w:tcBorders>
              <w:top w:val="single" w:color="auto" w:sz="4" w:space="0"/>
              <w:left w:val="single" w:color="auto" w:sz="4" w:space="0"/>
              <w:bottom w:val="single" w:color="auto" w:sz="4" w:space="0"/>
              <w:right w:val="single" w:color="auto" w:sz="4" w:space="0"/>
            </w:tcBorders>
            <w:shd w:val="clear" w:color="auto" w:fill="auto"/>
            <w:vAlign w:val="center"/>
          </w:tcPr>
          <w:p w14:paraId="45E9AC54">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1</w:t>
            </w:r>
          </w:p>
        </w:tc>
        <w:tc>
          <w:tcPr>
            <w:tcW w:w="790" w:type="pct"/>
            <w:tcBorders>
              <w:top w:val="single" w:color="auto" w:sz="4" w:space="0"/>
              <w:left w:val="single" w:color="auto" w:sz="4" w:space="0"/>
              <w:bottom w:val="single" w:color="auto" w:sz="4" w:space="0"/>
              <w:right w:val="single" w:color="auto" w:sz="4" w:space="0"/>
            </w:tcBorders>
            <w:shd w:val="clear" w:color="auto" w:fill="auto"/>
            <w:vAlign w:val="center"/>
          </w:tcPr>
          <w:p w14:paraId="6E0C6C0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围墙施工</w:t>
            </w:r>
          </w:p>
        </w:tc>
        <w:tc>
          <w:tcPr>
            <w:tcW w:w="380" w:type="pct"/>
            <w:tcBorders>
              <w:top w:val="single" w:color="auto" w:sz="4" w:space="0"/>
              <w:left w:val="single" w:color="auto" w:sz="4" w:space="0"/>
              <w:bottom w:val="single" w:color="auto" w:sz="4" w:space="0"/>
              <w:right w:val="single" w:color="auto" w:sz="4" w:space="0"/>
            </w:tcBorders>
            <w:shd w:val="clear" w:color="auto" w:fill="auto"/>
            <w:vAlign w:val="center"/>
          </w:tcPr>
          <w:p w14:paraId="52482D3C">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m</w:t>
            </w:r>
          </w:p>
        </w:tc>
        <w:tc>
          <w:tcPr>
            <w:tcW w:w="511" w:type="pct"/>
            <w:tcBorders>
              <w:top w:val="single" w:color="auto" w:sz="4" w:space="0"/>
              <w:left w:val="single" w:color="auto" w:sz="4" w:space="0"/>
              <w:bottom w:val="single" w:color="auto" w:sz="4" w:space="0"/>
              <w:right w:val="single" w:color="auto" w:sz="4" w:space="0"/>
            </w:tcBorders>
            <w:shd w:val="clear" w:color="auto" w:fill="auto"/>
            <w:vAlign w:val="center"/>
          </w:tcPr>
          <w:p w14:paraId="57911223">
            <w:pPr>
              <w:spacing w:line="240" w:lineRule="auto"/>
              <w:ind w:left="0" w:leftChars="0" w:firstLine="0" w:firstLineChars="0"/>
              <w:jc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600</w:t>
            </w:r>
          </w:p>
        </w:tc>
        <w:tc>
          <w:tcPr>
            <w:tcW w:w="560" w:type="pct"/>
            <w:tcBorders>
              <w:top w:val="single" w:color="auto" w:sz="4" w:space="0"/>
              <w:left w:val="single" w:color="auto" w:sz="4" w:space="0"/>
              <w:bottom w:val="single" w:color="auto" w:sz="4" w:space="0"/>
              <w:right w:val="single" w:color="auto" w:sz="4" w:space="0"/>
            </w:tcBorders>
            <w:shd w:val="clear" w:color="auto" w:fill="auto"/>
            <w:vAlign w:val="center"/>
          </w:tcPr>
          <w:p w14:paraId="5914334F">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800" w:type="pct"/>
            <w:tcBorders>
              <w:top w:val="single" w:color="auto" w:sz="4" w:space="0"/>
              <w:left w:val="single" w:color="auto" w:sz="4" w:space="0"/>
              <w:bottom w:val="single" w:color="auto" w:sz="4" w:space="0"/>
              <w:right w:val="single" w:color="auto" w:sz="4" w:space="0"/>
            </w:tcBorders>
            <w:shd w:val="clear" w:color="auto" w:fill="auto"/>
            <w:vAlign w:val="center"/>
          </w:tcPr>
          <w:p w14:paraId="37D4AA54">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732" w:type="pct"/>
            <w:tcBorders>
              <w:top w:val="single" w:color="auto" w:sz="4" w:space="0"/>
              <w:left w:val="single" w:color="auto" w:sz="4" w:space="0"/>
              <w:bottom w:val="single" w:color="auto" w:sz="4" w:space="0"/>
              <w:right w:val="single" w:color="auto" w:sz="4" w:space="0"/>
            </w:tcBorders>
            <w:shd w:val="clear" w:color="auto" w:fill="auto"/>
            <w:vAlign w:val="center"/>
          </w:tcPr>
          <w:p w14:paraId="4D8D60E8">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829" w:type="pct"/>
            <w:tcBorders>
              <w:top w:val="single" w:color="auto" w:sz="4" w:space="0"/>
              <w:left w:val="single" w:color="auto" w:sz="4" w:space="0"/>
              <w:bottom w:val="single" w:color="auto" w:sz="4" w:space="0"/>
              <w:right w:val="single" w:color="auto" w:sz="4" w:space="0"/>
            </w:tcBorders>
            <w:shd w:val="clear" w:color="auto" w:fill="auto"/>
            <w:vAlign w:val="center"/>
          </w:tcPr>
          <w:p w14:paraId="436463D0">
            <w:pPr>
              <w:spacing w:line="240" w:lineRule="auto"/>
              <w:jc w:val="center"/>
              <w:rPr>
                <w:rFonts w:hint="eastAsia" w:ascii="宋体" w:hAnsi="宋体" w:eastAsia="宋体" w:cs="宋体"/>
                <w:b w:val="0"/>
                <w:bCs w:val="0"/>
                <w:i w:val="0"/>
                <w:iCs w:val="0"/>
                <w:color w:val="000000"/>
                <w:sz w:val="21"/>
                <w:szCs w:val="21"/>
                <w:u w:val="none"/>
              </w:rPr>
            </w:pPr>
          </w:p>
        </w:tc>
      </w:tr>
      <w:tr w14:paraId="1EC3D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vAlign w:val="center"/>
          </w:tcPr>
          <w:p w14:paraId="5A5BD9C8">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宋体" w:hAnsi="宋体" w:eastAsia="宋体" w:cs="宋体"/>
                <w:color w:val="000000"/>
                <w:kern w:val="0"/>
                <w:sz w:val="21"/>
                <w:szCs w:val="21"/>
                <w:u w:val="none"/>
                <w:lang w:val="en-US" w:eastAsia="zh-CN"/>
              </w:rPr>
            </w:pPr>
            <w:r>
              <w:rPr>
                <w:rFonts w:hint="eastAsia" w:ascii="宋体" w:hAnsi="宋体" w:eastAsia="宋体" w:cs="宋体"/>
                <w:b w:val="0"/>
                <w:bCs w:val="0"/>
                <w:i w:val="0"/>
                <w:iCs w:val="0"/>
                <w:color w:val="000000"/>
                <w:sz w:val="21"/>
                <w:szCs w:val="21"/>
                <w:u w:val="none"/>
              </w:rPr>
              <w:t>注：供应商响应时要充分考虑完成各项施工内容包含的管理人员、工人等人员的工资，工机具、模板及辅助材料配件、水电动力费用、安装、缺陷修复、利润、安全、环保、文明施工、机械调遣（进出场）等费用、材料二次倒运费用、工、料、机涨价引起的风险费用、建设单位、监理等检查引起的停工费用、各类社会保险及伤害险等保险费用、第三方配合费或其他在施工中需要乙方配合的费用，以及合同所有责任、义务和一般风险等统一考虑进报价内。</w:t>
            </w:r>
            <w:r>
              <w:rPr>
                <w:rFonts w:hint="eastAsia" w:ascii="宋体" w:hAnsi="宋体" w:eastAsia="宋体" w:cs="宋体"/>
                <w:color w:val="000000"/>
                <w:kern w:val="0"/>
                <w:sz w:val="21"/>
                <w:szCs w:val="21"/>
                <w:u w:val="none"/>
                <w:lang w:val="en-US" w:eastAsia="zh-CN"/>
              </w:rPr>
              <w:t>报价应包括为完成本项目采购范围内各阶段工作内容所需的全部费用，成交后不予调整，其他未尽事宜应统一考虑在报价内。</w:t>
            </w:r>
          </w:p>
          <w:p w14:paraId="2D6D59F7">
            <w:pPr>
              <w:spacing w:line="240" w:lineRule="auto"/>
              <w:jc w:val="both"/>
              <w:rPr>
                <w:rFonts w:hint="eastAsia" w:ascii="宋体" w:hAnsi="宋体" w:eastAsia="宋体" w:cs="宋体"/>
                <w:b w:val="0"/>
                <w:bCs w:val="0"/>
                <w:i w:val="0"/>
                <w:iCs w:val="0"/>
                <w:color w:val="000000"/>
                <w:sz w:val="21"/>
                <w:szCs w:val="21"/>
                <w:u w:val="none"/>
              </w:rPr>
            </w:pPr>
          </w:p>
        </w:tc>
      </w:tr>
    </w:tbl>
    <w:p w14:paraId="5E0196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成交人对工程质量缺陷承担返修责任，如因作业不规范等原因导致的工程质量缺陷，成交人应无偿进行返修，直至工程质量达到合格标准。成交人拒绝承担返修责任的，采购人有权自行进行返修，返修发生的费用从成交人工程价款中据实扣除。</w:t>
      </w:r>
    </w:p>
    <w:p w14:paraId="2BC05D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3</w:t>
      </w:r>
      <w:r>
        <w:rPr>
          <w:rFonts w:hint="eastAsia" w:asciiTheme="minorEastAsia" w:hAnsiTheme="minorEastAsia" w:eastAsiaTheme="minorEastAsia" w:cstheme="minorEastAsia"/>
          <w:kern w:val="2"/>
          <w:sz w:val="28"/>
          <w:szCs w:val="28"/>
          <w:highlight w:val="none"/>
          <w:lang w:val="en-US" w:eastAsia="zh-CN"/>
        </w:rPr>
        <w:t>.因成交人作业不规范等原因，给采购人造成经济损失的，成交人应当据实赔偿。成交人拒绝承担赔偿责任的，采购人有权通过工程价款据实扣除。</w:t>
      </w:r>
    </w:p>
    <w:p w14:paraId="745FD6E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4.施工地点部分与乡村田间地头相邻，成交人需妥善处理施工过程中地方关系，因施工造成第三方损失由成交人全权负责。</w:t>
      </w:r>
    </w:p>
    <w:p w14:paraId="0321B2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imes New Roman" w:hAnsi="Times New Roman" w:cs="Times New Roman"/>
          <w:kern w:val="0"/>
          <w:sz w:val="24"/>
          <w:szCs w:val="24"/>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5.如因建设单位原因出现停工、停建、变更等情况造成承包范围增减，采购人不承担任何责任，采购人有权对施工范围做出调整。</w:t>
      </w:r>
    </w:p>
    <w:p w14:paraId="04B23E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 xml:space="preserve">6.围墙施工期间，需指派1名施工管理人员常驻现场。 </w:t>
      </w:r>
    </w:p>
    <w:p w14:paraId="51064CC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17F06D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亳蒙高速一期管理区安全整治工程围墙施工劳务</w:t>
      </w:r>
    </w:p>
    <w:p w14:paraId="655E9D3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采购项目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AHTKJS-2026-008号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247527827"/>
      <w:bookmarkStart w:id="242" w:name="_Toc247514246"/>
      <w:bookmarkStart w:id="243" w:name="_Toc152045787"/>
      <w:bookmarkStart w:id="244" w:name="_Toc152042576"/>
      <w:bookmarkStart w:id="245" w:name="_Toc300835209"/>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247514247"/>
      <w:bookmarkStart w:id="248" w:name="_Toc152042577"/>
      <w:bookmarkStart w:id="249" w:name="_Toc300835210"/>
      <w:bookmarkStart w:id="250" w:name="_Toc144974857"/>
      <w:bookmarkStart w:id="251" w:name="_Toc247527828"/>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27830"/>
      <w:bookmarkStart w:id="254" w:name="_Toc247514249"/>
      <w:bookmarkStart w:id="255" w:name="_Toc152042579"/>
      <w:bookmarkStart w:id="256" w:name="_Toc144974859"/>
      <w:bookmarkStart w:id="257" w:name="_Toc300835212"/>
      <w:bookmarkStart w:id="258" w:name="_Toc15204579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亳蒙高速一期管理区安全整治工程围墙施工劳务采购项目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AHTKJS-2026-008号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 愿意以</w:t>
      </w:r>
      <w:permStart w:id="46" w:edGrp="everyone"/>
      <w:r>
        <w:rPr>
          <w:rFonts w:hint="eastAsia" w:ascii="Times New Roman" w:hAnsi="Times New Roman" w:cs="Times New Roman"/>
          <w:color w:val="FF0000"/>
          <w:szCs w:val="21"/>
          <w:lang w:val="en-US" w:eastAsia="zh-CN"/>
        </w:rPr>
        <w:t>不含税人民币（大写）  每米</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元/m</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另外，增值税税率为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r>
        <w:rPr>
          <w:rFonts w:hint="eastAsia" w:ascii="Times New Roman" w:hAnsi="Times New Roman" w:cs="Times New Roman"/>
          <w:color w:val="FF0000"/>
          <w:szCs w:val="21"/>
          <w:u w:val="single"/>
          <w:lang w:val="en-US" w:eastAsia="zh-CN"/>
        </w:rPr>
        <w:t>计划工期：自合同签订之日起60日历天</w:t>
      </w:r>
      <w:permEnd w:id="46"/>
      <w:r>
        <w:rPr>
          <w:rFonts w:hint="eastAsia" w:ascii="Times New Roman" w:hAnsi="Times New Roman" w:cs="Times New Roman"/>
          <w:color w:val="FF0000"/>
          <w:szCs w:val="21"/>
          <w:u w:val="single"/>
          <w:lang w:val="en-US" w:eastAsia="zh-CN"/>
        </w:rPr>
        <w:t>，按合同约定完成本项目全部工作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300835213"/>
      <w:bookmarkStart w:id="260" w:name="_Toc144974860"/>
      <w:bookmarkStart w:id="261" w:name="_Toc247527831"/>
      <w:bookmarkStart w:id="262" w:name="_Toc152045791"/>
      <w:bookmarkStart w:id="263" w:name="_Toc247514283"/>
      <w:bookmarkStart w:id="264" w:name="_Toc152042580"/>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300835214"/>
      <w:bookmarkStart w:id="266" w:name="_Toc247514284"/>
      <w:bookmarkStart w:id="267" w:name="_Toc247527832"/>
      <w:bookmarkStart w:id="268" w:name="_Toc144974861"/>
      <w:bookmarkStart w:id="269" w:name="_Toc152042581"/>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247527834"/>
      <w:bookmarkStart w:id="273" w:name="_Toc152045794"/>
      <w:bookmarkStart w:id="274" w:name="_Toc247514286"/>
      <w:bookmarkStart w:id="275" w:name="_Toc144974862"/>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300835218"/>
      <w:bookmarkStart w:id="280" w:name="_Toc144974863"/>
      <w:bookmarkStart w:id="281" w:name="_Toc152042584"/>
      <w:bookmarkStart w:id="282" w:name="_Toc247514287"/>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2"/>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4"/>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p w14:paraId="31E6A075">
      <w:pPr>
        <w:numPr>
          <w:ilvl w:val="0"/>
          <w:numId w:val="0"/>
        </w:numPr>
        <w:rPr>
          <w:rFonts w:hint="eastAsia"/>
          <w:lang w:val="en-US" w:eastAsia="zh-CN"/>
        </w:rPr>
      </w:pPr>
    </w:p>
    <w:p w14:paraId="721F2D4A">
      <w:pPr>
        <w:numPr>
          <w:ilvl w:val="0"/>
          <w:numId w:val="0"/>
        </w:numPr>
        <w:rPr>
          <w:rFonts w:hint="eastAsia"/>
          <w:lang w:val="en-US" w:eastAsia="zh-CN"/>
        </w:rPr>
      </w:pP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2"/>
        <w:gridCol w:w="1348"/>
        <w:gridCol w:w="649"/>
        <w:gridCol w:w="871"/>
        <w:gridCol w:w="956"/>
        <w:gridCol w:w="1365"/>
        <w:gridCol w:w="1248"/>
        <w:gridCol w:w="1413"/>
      </w:tblGrid>
      <w:tr w14:paraId="292F4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vAlign w:val="center"/>
          </w:tcPr>
          <w:p w14:paraId="342087C0">
            <w:pPr>
              <w:keepNext w:val="0"/>
              <w:keepLines w:val="0"/>
              <w:widowControl/>
              <w:suppressLineNumbers w:val="0"/>
              <w:spacing w:line="240" w:lineRule="auto"/>
              <w:ind w:left="0" w:leftChars="0" w:firstLine="0" w:firstLineChars="0"/>
              <w:jc w:val="center"/>
              <w:textAlignment w:val="top"/>
              <w:rPr>
                <w:rFonts w:hint="default"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亳蒙高速一期管理区安全整治工程围墙施工劳务采购项目报价表</w:t>
            </w:r>
          </w:p>
        </w:tc>
      </w:tr>
      <w:tr w14:paraId="4AD1E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trPr>
        <w:tc>
          <w:tcPr>
            <w:tcW w:w="394" w:type="pct"/>
            <w:tcBorders>
              <w:top w:val="single" w:color="auto" w:sz="4" w:space="0"/>
              <w:left w:val="single" w:color="auto" w:sz="4" w:space="0"/>
              <w:bottom w:val="single" w:color="auto" w:sz="4" w:space="0"/>
              <w:right w:val="single" w:color="auto" w:sz="4" w:space="0"/>
            </w:tcBorders>
            <w:shd w:val="clear" w:color="auto" w:fill="auto"/>
            <w:vAlign w:val="center"/>
          </w:tcPr>
          <w:p w14:paraId="6A80FFE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序号</w:t>
            </w:r>
          </w:p>
        </w:tc>
        <w:tc>
          <w:tcPr>
            <w:tcW w:w="791" w:type="pct"/>
            <w:tcBorders>
              <w:top w:val="single" w:color="auto" w:sz="4" w:space="0"/>
              <w:left w:val="single" w:color="auto" w:sz="4" w:space="0"/>
              <w:bottom w:val="single" w:color="auto" w:sz="4" w:space="0"/>
              <w:right w:val="single" w:color="auto" w:sz="4" w:space="0"/>
            </w:tcBorders>
            <w:shd w:val="clear" w:color="auto" w:fill="auto"/>
            <w:vAlign w:val="center"/>
          </w:tcPr>
          <w:p w14:paraId="535411F0">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施工项目名称</w:t>
            </w:r>
          </w:p>
        </w:tc>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28A5CF33">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ascii="宋体" w:hAnsi="宋体" w:eastAsia="宋体" w:cs="宋体"/>
                <w:b w:val="0"/>
                <w:bCs w:val="0"/>
                <w:i w:val="0"/>
                <w:iCs w:val="0"/>
                <w:color w:val="000000"/>
                <w:kern w:val="0"/>
                <w:sz w:val="21"/>
                <w:szCs w:val="21"/>
                <w:u w:val="none"/>
                <w:lang w:val="en-US" w:eastAsia="zh-CN" w:bidi="ar"/>
              </w:rPr>
              <w:t>单位</w:t>
            </w:r>
          </w:p>
        </w:tc>
        <w:tc>
          <w:tcPr>
            <w:tcW w:w="511" w:type="pct"/>
            <w:tcBorders>
              <w:top w:val="single" w:color="auto" w:sz="4" w:space="0"/>
              <w:left w:val="single" w:color="auto" w:sz="4" w:space="0"/>
              <w:bottom w:val="single" w:color="auto" w:sz="4" w:space="0"/>
              <w:right w:val="single" w:color="auto" w:sz="4" w:space="0"/>
            </w:tcBorders>
            <w:shd w:val="clear" w:color="auto" w:fill="auto"/>
            <w:vAlign w:val="center"/>
          </w:tcPr>
          <w:p w14:paraId="72D4CC37">
            <w:pPr>
              <w:keepNext w:val="0"/>
              <w:keepLines w:val="0"/>
              <w:widowControl/>
              <w:suppressLineNumbers w:val="0"/>
              <w:spacing w:line="240" w:lineRule="auto"/>
              <w:ind w:left="0" w:leftChars="0" w:firstLine="0" w:firstLineChars="0"/>
              <w:jc w:val="center"/>
              <w:textAlignment w:val="center"/>
              <w:rPr>
                <w:rFonts w:ascii="宋体" w:hAnsi="宋体" w:eastAsia="宋体" w:cs="宋体"/>
                <w:b w:val="0"/>
                <w:bCs w:val="0"/>
                <w:i w:val="0"/>
                <w:iCs w:val="0"/>
                <w:color w:val="000000"/>
                <w:sz w:val="21"/>
                <w:szCs w:val="21"/>
                <w:u w:val="none"/>
              </w:rPr>
            </w:pPr>
            <w:r>
              <w:rPr>
                <w:rFonts w:ascii="宋体" w:hAnsi="宋体" w:eastAsia="宋体" w:cs="宋体"/>
                <w:b w:val="0"/>
                <w:bCs w:val="0"/>
                <w:i w:val="0"/>
                <w:iCs w:val="0"/>
                <w:color w:val="000000"/>
                <w:kern w:val="0"/>
                <w:sz w:val="21"/>
                <w:szCs w:val="21"/>
                <w:u w:val="none"/>
                <w:lang w:val="en-US" w:eastAsia="zh-CN" w:bidi="ar"/>
              </w:rPr>
              <w:t>数量</w:t>
            </w:r>
          </w:p>
        </w:tc>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35F2C78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单价报价（不含税，元/m）</w:t>
            </w:r>
          </w:p>
        </w:tc>
        <w:tc>
          <w:tcPr>
            <w:tcW w:w="801" w:type="pct"/>
            <w:tcBorders>
              <w:top w:val="single" w:color="auto" w:sz="4" w:space="0"/>
              <w:left w:val="single" w:color="auto" w:sz="4" w:space="0"/>
              <w:bottom w:val="single" w:color="auto" w:sz="4" w:space="0"/>
              <w:right w:val="single" w:color="auto" w:sz="4" w:space="0"/>
            </w:tcBorders>
            <w:shd w:val="clear" w:color="auto" w:fill="auto"/>
            <w:vAlign w:val="center"/>
          </w:tcPr>
          <w:p w14:paraId="0B860880">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总价（不含税，元）</w:t>
            </w:r>
          </w:p>
        </w:tc>
        <w:tc>
          <w:tcPr>
            <w:tcW w:w="732" w:type="pct"/>
            <w:tcBorders>
              <w:top w:val="single" w:color="auto" w:sz="4" w:space="0"/>
              <w:left w:val="single" w:color="auto" w:sz="4" w:space="0"/>
              <w:bottom w:val="single" w:color="auto" w:sz="4" w:space="0"/>
              <w:right w:val="single" w:color="auto" w:sz="4" w:space="0"/>
            </w:tcBorders>
            <w:shd w:val="clear" w:color="auto" w:fill="auto"/>
            <w:vAlign w:val="center"/>
          </w:tcPr>
          <w:p w14:paraId="6EA717D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税率</w:t>
            </w:r>
          </w:p>
        </w:tc>
        <w:tc>
          <w:tcPr>
            <w:tcW w:w="826" w:type="pct"/>
            <w:tcBorders>
              <w:top w:val="single" w:color="auto" w:sz="4" w:space="0"/>
              <w:left w:val="single" w:color="auto" w:sz="4" w:space="0"/>
              <w:bottom w:val="single" w:color="auto" w:sz="4" w:space="0"/>
              <w:right w:val="single" w:color="auto" w:sz="4" w:space="0"/>
            </w:tcBorders>
            <w:shd w:val="clear" w:color="auto" w:fill="auto"/>
            <w:vAlign w:val="center"/>
          </w:tcPr>
          <w:p w14:paraId="583CCA99">
            <w:pPr>
              <w:keepNext w:val="0"/>
              <w:keepLines w:val="0"/>
              <w:widowControl/>
              <w:suppressLineNumbers w:val="0"/>
              <w:spacing w:line="240" w:lineRule="auto"/>
              <w:ind w:left="0" w:leftChars="0" w:firstLine="0" w:firstLineChars="0"/>
              <w:jc w:val="center"/>
              <w:textAlignment w:val="top"/>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备注</w:t>
            </w:r>
          </w:p>
        </w:tc>
      </w:tr>
      <w:tr w14:paraId="3339B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3" w:hRule="atLeast"/>
        </w:trPr>
        <w:tc>
          <w:tcPr>
            <w:tcW w:w="394" w:type="pct"/>
            <w:tcBorders>
              <w:top w:val="single" w:color="auto" w:sz="4" w:space="0"/>
              <w:left w:val="single" w:color="auto" w:sz="4" w:space="0"/>
              <w:bottom w:val="single" w:color="auto" w:sz="4" w:space="0"/>
              <w:right w:val="single" w:color="auto" w:sz="4" w:space="0"/>
            </w:tcBorders>
            <w:shd w:val="clear" w:color="auto" w:fill="auto"/>
            <w:vAlign w:val="center"/>
          </w:tcPr>
          <w:p w14:paraId="52C432D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1</w:t>
            </w:r>
          </w:p>
        </w:tc>
        <w:tc>
          <w:tcPr>
            <w:tcW w:w="791" w:type="pct"/>
            <w:tcBorders>
              <w:top w:val="single" w:color="auto" w:sz="4" w:space="0"/>
              <w:left w:val="single" w:color="auto" w:sz="4" w:space="0"/>
              <w:bottom w:val="single" w:color="auto" w:sz="4" w:space="0"/>
              <w:right w:val="single" w:color="auto" w:sz="4" w:space="0"/>
            </w:tcBorders>
            <w:shd w:val="clear" w:color="auto" w:fill="auto"/>
            <w:vAlign w:val="center"/>
          </w:tcPr>
          <w:p w14:paraId="0509488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围墙施工</w:t>
            </w:r>
          </w:p>
        </w:tc>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35359F70">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m</w:t>
            </w:r>
          </w:p>
        </w:tc>
        <w:tc>
          <w:tcPr>
            <w:tcW w:w="511" w:type="pct"/>
            <w:tcBorders>
              <w:top w:val="single" w:color="auto" w:sz="4" w:space="0"/>
              <w:left w:val="single" w:color="auto" w:sz="4" w:space="0"/>
              <w:bottom w:val="single" w:color="auto" w:sz="4" w:space="0"/>
              <w:right w:val="single" w:color="auto" w:sz="4" w:space="0"/>
            </w:tcBorders>
            <w:shd w:val="clear" w:color="auto" w:fill="auto"/>
            <w:vAlign w:val="center"/>
          </w:tcPr>
          <w:p w14:paraId="40F327B8">
            <w:pPr>
              <w:spacing w:line="240" w:lineRule="auto"/>
              <w:ind w:left="0" w:leftChars="0" w:firstLine="0" w:firstLineChars="0"/>
              <w:jc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600</w:t>
            </w:r>
          </w:p>
        </w:tc>
        <w:tc>
          <w:tcPr>
            <w:tcW w:w="561" w:type="pct"/>
            <w:tcBorders>
              <w:top w:val="single" w:color="auto" w:sz="4" w:space="0"/>
              <w:left w:val="single" w:color="auto" w:sz="4" w:space="0"/>
              <w:bottom w:val="single" w:color="auto" w:sz="4" w:space="0"/>
              <w:right w:val="single" w:color="auto" w:sz="4" w:space="0"/>
            </w:tcBorders>
            <w:shd w:val="clear" w:color="auto" w:fill="auto"/>
            <w:vAlign w:val="center"/>
          </w:tcPr>
          <w:p w14:paraId="1E5E1615">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801" w:type="pct"/>
            <w:tcBorders>
              <w:top w:val="single" w:color="auto" w:sz="4" w:space="0"/>
              <w:left w:val="single" w:color="auto" w:sz="4" w:space="0"/>
              <w:bottom w:val="single" w:color="auto" w:sz="4" w:space="0"/>
              <w:right w:val="single" w:color="auto" w:sz="4" w:space="0"/>
            </w:tcBorders>
            <w:shd w:val="clear" w:color="auto" w:fill="auto"/>
            <w:vAlign w:val="center"/>
          </w:tcPr>
          <w:p w14:paraId="73188406">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732" w:type="pct"/>
            <w:tcBorders>
              <w:top w:val="single" w:color="auto" w:sz="4" w:space="0"/>
              <w:left w:val="single" w:color="auto" w:sz="4" w:space="0"/>
              <w:bottom w:val="single" w:color="auto" w:sz="4" w:space="0"/>
              <w:right w:val="single" w:color="auto" w:sz="4" w:space="0"/>
            </w:tcBorders>
            <w:shd w:val="clear" w:color="auto" w:fill="auto"/>
            <w:vAlign w:val="center"/>
          </w:tcPr>
          <w:p w14:paraId="4AE77CCE">
            <w:pPr>
              <w:spacing w:line="240" w:lineRule="auto"/>
              <w:ind w:left="0" w:leftChars="0" w:firstLine="0" w:firstLineChars="0"/>
              <w:jc w:val="center"/>
              <w:rPr>
                <w:rFonts w:hint="eastAsia" w:ascii="宋体" w:hAnsi="宋体" w:eastAsia="宋体" w:cs="宋体"/>
                <w:b w:val="0"/>
                <w:bCs w:val="0"/>
                <w:i w:val="0"/>
                <w:iCs w:val="0"/>
                <w:color w:val="000000"/>
                <w:sz w:val="21"/>
                <w:szCs w:val="21"/>
                <w:u w:val="none"/>
              </w:rPr>
            </w:pPr>
          </w:p>
        </w:tc>
        <w:tc>
          <w:tcPr>
            <w:tcW w:w="826" w:type="pct"/>
            <w:tcBorders>
              <w:top w:val="single" w:color="auto" w:sz="4" w:space="0"/>
              <w:left w:val="single" w:color="auto" w:sz="4" w:space="0"/>
              <w:bottom w:val="single" w:color="auto" w:sz="4" w:space="0"/>
              <w:right w:val="single" w:color="auto" w:sz="4" w:space="0"/>
            </w:tcBorders>
            <w:shd w:val="clear" w:color="auto" w:fill="auto"/>
            <w:vAlign w:val="center"/>
          </w:tcPr>
          <w:p w14:paraId="2DA81736">
            <w:pPr>
              <w:spacing w:line="240" w:lineRule="auto"/>
              <w:jc w:val="center"/>
              <w:rPr>
                <w:rFonts w:hint="eastAsia" w:ascii="宋体" w:hAnsi="宋体" w:eastAsia="宋体" w:cs="宋体"/>
                <w:b w:val="0"/>
                <w:bCs w:val="0"/>
                <w:i w:val="0"/>
                <w:iCs w:val="0"/>
                <w:color w:val="000000"/>
                <w:sz w:val="21"/>
                <w:szCs w:val="21"/>
                <w:u w:val="none"/>
              </w:rPr>
            </w:pPr>
          </w:p>
        </w:tc>
      </w:tr>
      <w:tr w14:paraId="44E88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3"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vAlign w:val="center"/>
          </w:tcPr>
          <w:p w14:paraId="488F25D1">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宋体" w:hAnsi="宋体" w:eastAsia="宋体" w:cs="宋体"/>
                <w:color w:val="000000"/>
                <w:kern w:val="0"/>
                <w:sz w:val="21"/>
                <w:szCs w:val="21"/>
                <w:u w:val="none"/>
                <w:lang w:val="en-US" w:eastAsia="zh-CN"/>
              </w:rPr>
            </w:pPr>
            <w:r>
              <w:rPr>
                <w:rFonts w:hint="eastAsia" w:ascii="宋体" w:hAnsi="宋体" w:eastAsia="宋体" w:cs="宋体"/>
                <w:b w:val="0"/>
                <w:bCs w:val="0"/>
                <w:i w:val="0"/>
                <w:iCs w:val="0"/>
                <w:color w:val="000000"/>
                <w:sz w:val="21"/>
                <w:szCs w:val="21"/>
                <w:u w:val="none"/>
              </w:rPr>
              <w:t>注：供应商响应时要充分考虑完成各项施工内容包含的管理人员、工人等人员的工资，工机具、模板及辅助材料配件、水电动力费用、安装、缺陷修复、利润、安全、环保、文明施工、机械调遣（进出场）等费用、材料二次倒运费用、工、料、机涨价引起的风险费用、建设单位、监理等检查引起的停工费用、各类社会保险及伤害险等保险费用、第三方配合费或其他在施工中需要乙方配合的费用，以及合同所有责任、义务和一般风险等统一考虑进报价内。</w:t>
            </w:r>
            <w:r>
              <w:rPr>
                <w:rFonts w:hint="eastAsia" w:ascii="宋体" w:hAnsi="宋体" w:eastAsia="宋体" w:cs="宋体"/>
                <w:color w:val="000000"/>
                <w:kern w:val="0"/>
                <w:sz w:val="21"/>
                <w:szCs w:val="21"/>
                <w:u w:val="none"/>
                <w:lang w:val="en-US" w:eastAsia="zh-CN"/>
              </w:rPr>
              <w:t>报价应包括为完成本项目采购范围内各阶段工作内容所需的全部费用，成交后不予调整，其他未尽事宜应统一考虑在报价内。</w:t>
            </w:r>
          </w:p>
          <w:p w14:paraId="1C612E07">
            <w:pPr>
              <w:spacing w:line="240" w:lineRule="auto"/>
              <w:jc w:val="both"/>
              <w:rPr>
                <w:rFonts w:hint="eastAsia" w:ascii="宋体" w:hAnsi="宋体" w:eastAsia="宋体" w:cs="宋体"/>
                <w:b w:val="0"/>
                <w:bCs w:val="0"/>
                <w:i w:val="0"/>
                <w:iCs w:val="0"/>
                <w:color w:val="000000"/>
                <w:sz w:val="21"/>
                <w:szCs w:val="21"/>
                <w:u w:val="none"/>
              </w:rPr>
            </w:pPr>
          </w:p>
        </w:tc>
      </w:tr>
    </w:tbl>
    <w:p w14:paraId="640C3EF3">
      <w:pPr>
        <w:pStyle w:val="4"/>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152042585"/>
      <w:bookmarkStart w:id="285" w:name="_Toc247527836"/>
      <w:bookmarkStart w:id="286" w:name="_Toc152045796"/>
      <w:bookmarkStart w:id="287" w:name="_Toc144974864"/>
      <w:bookmarkStart w:id="288" w:name="_Toc247514288"/>
      <w:bookmarkStart w:id="289" w:name="_Toc300835221"/>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179632828"/>
      <w:bookmarkStart w:id="293" w:name="_Toc247085891"/>
      <w:bookmarkStart w:id="294" w:name="_Toc246997116"/>
      <w:bookmarkStart w:id="295" w:name="_Toc246996373"/>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47085888"/>
      <w:bookmarkStart w:id="297" w:name="_Toc246996370"/>
      <w:bookmarkStart w:id="298" w:name="_Toc246997113"/>
      <w:bookmarkStart w:id="299" w:name="_Toc296602615"/>
      <w:bookmarkStart w:id="300" w:name="_Toc152042599"/>
      <w:bookmarkStart w:id="301" w:name="_Toc144974878"/>
      <w:bookmarkStart w:id="302" w:name="_Toc247514302"/>
      <w:bookmarkStart w:id="303" w:name="_Toc247527850"/>
      <w:bookmarkStart w:id="304" w:name="_Toc300835226"/>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96602616"/>
      <w:bookmarkStart w:id="307" w:name="_Toc246997114"/>
      <w:bookmarkStart w:id="308" w:name="_Toc247085889"/>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247514303"/>
      <w:bookmarkStart w:id="312" w:name="_Toc152042600"/>
      <w:bookmarkStart w:id="313" w:name="_Toc247527851"/>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43E03A54">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2、提供供应商的资质证书及安全生产许可证的复印件或扫描件，加盖供应商单位公章；</w:t>
      </w:r>
    </w:p>
    <w:p w14:paraId="64B8B690">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3</w:t>
      </w:r>
      <w:r>
        <w:rPr>
          <w:rFonts w:hint="default" w:ascii="Times New Roman" w:hAnsi="Times New Roman"/>
          <w:b/>
          <w:bCs/>
          <w:color w:val="FF0000"/>
          <w:lang w:val="en-US" w:eastAsia="zh-CN"/>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4、提供供应商的信用中国查询证明的复印件或扫描件，加盖供应商单位公章。</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5"/>
        <w:numPr>
          <w:ilvl w:val="0"/>
          <w:numId w:val="0"/>
        </w:numPr>
        <w:jc w:val="center"/>
        <w:rPr>
          <w:rFonts w:hint="default" w:ascii="Times New Roman" w:hAnsi="Times New Roman" w:cs="Times New Roman"/>
          <w:lang w:val="en-US" w:eastAsia="zh-CN"/>
        </w:rPr>
      </w:pPr>
      <w:bookmarkStart w:id="315" w:name="_Toc271821942"/>
      <w:bookmarkStart w:id="316" w:name="_Toc300835233"/>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4346F42-5A51-4D53-9DEB-8FC6BDE6708F}"/>
  </w:font>
  <w:font w:name="Arial">
    <w:panose1 w:val="020B0604020202020204"/>
    <w:charset w:val="01"/>
    <w:family w:val="swiss"/>
    <w:pitch w:val="default"/>
    <w:sig w:usb0="E0002EFF" w:usb1="C000785B" w:usb2="00000009" w:usb3="00000000" w:csb0="400001FF" w:csb1="FFFF0000"/>
    <w:embedRegular r:id="rId2" w:fontKey="{972AC9F3-9A35-4AEB-AF04-2DDF30C7E3CA}"/>
  </w:font>
  <w:font w:name="黑体">
    <w:panose1 w:val="02010609060101010101"/>
    <w:charset w:val="86"/>
    <w:family w:val="auto"/>
    <w:pitch w:val="default"/>
    <w:sig w:usb0="800002BF" w:usb1="38CF7CFA" w:usb2="00000016" w:usb3="00000000" w:csb0="00040001" w:csb1="00000000"/>
    <w:embedRegular r:id="rId3" w:fontKey="{A1173A54-5EE5-43B0-9779-50DCBEFE0A5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2E892A6B-B4CA-4D82-B46A-FF73BCEE56F7}"/>
  </w:font>
  <w:font w:name="仿宋_GB2312">
    <w:panose1 w:val="02010609030101010101"/>
    <w:charset w:val="86"/>
    <w:family w:val="modern"/>
    <w:pitch w:val="default"/>
    <w:sig w:usb0="00000001" w:usb1="080E0000" w:usb2="00000000" w:usb3="00000000" w:csb0="00040000" w:csb1="00000000"/>
    <w:embedRegular r:id="rId5" w:fontKey="{642382B4-E6A1-4B05-8F4C-1D8889D91CB4}"/>
  </w:font>
  <w:font w:name="方正小标宋简体">
    <w:panose1 w:val="03000509000000000000"/>
    <w:charset w:val="86"/>
    <w:family w:val="auto"/>
    <w:pitch w:val="default"/>
    <w:sig w:usb0="00000001" w:usb1="080E0000" w:usb2="00000000" w:usb3="00000000" w:csb0="00040000" w:csb1="00000000"/>
    <w:embedRegular r:id="rId6" w:fontKey="{AB4A234A-DE34-4218-A95D-EAF245EB2D5D}"/>
  </w:font>
  <w:font w:name="楷体">
    <w:panose1 w:val="02010609060101010101"/>
    <w:charset w:val="86"/>
    <w:family w:val="auto"/>
    <w:pitch w:val="default"/>
    <w:sig w:usb0="800002BF" w:usb1="38CF7CFA" w:usb2="00000016" w:usb3="00000000" w:csb0="00040001" w:csb1="00000000"/>
    <w:embedRegular r:id="rId7" w:fontKey="{A1169696-7BFE-4A68-8CD2-48E41CD59A57}"/>
  </w:font>
  <w:font w:name="Wingdings 2">
    <w:panose1 w:val="05020102010507070707"/>
    <w:charset w:val="00"/>
    <w:family w:val="auto"/>
    <w:pitch w:val="default"/>
    <w:sig w:usb0="00000000" w:usb1="00000000" w:usb2="00000000" w:usb3="00000000" w:csb0="80000000" w:csb1="00000000"/>
    <w:embedRegular r:id="rId8" w:fontKey="{E35FB733-D8CD-456C-ADB8-45AEC0C9E059}"/>
  </w:font>
  <w:font w:name="方正仿宋_GB2312">
    <w:panose1 w:val="02000000000000000000"/>
    <w:charset w:val="86"/>
    <w:family w:val="auto"/>
    <w:pitch w:val="default"/>
    <w:sig w:usb0="A00002BF" w:usb1="184F6CFA" w:usb2="00000012" w:usb3="00000000" w:csb0="00040001" w:csb1="00000000"/>
    <w:embedRegular r:id="rId9" w:fontKey="{695C8FAC-6628-42C1-B71D-B2E977E4AC53}"/>
  </w:font>
  <w:font w:name="仿宋">
    <w:panose1 w:val="02010609060101010101"/>
    <w:charset w:val="86"/>
    <w:family w:val="modern"/>
    <w:pitch w:val="default"/>
    <w:sig w:usb0="800002BF" w:usb1="38CF7CFA" w:usb2="00000016" w:usb3="00000000" w:csb0="00040001" w:csb1="00000000"/>
    <w:embedRegular r:id="rId10" w:fontKey="{9EDA3A54-45C1-4399-99E8-65A107320F25}"/>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E1A3B6"/>
    <w:multiLevelType w:val="singleLevel"/>
    <w:tmpl w:val="65E1A3B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D2606"/>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77473"/>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8F3593"/>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77DF2"/>
    <w:rsid w:val="601A25EF"/>
    <w:rsid w:val="60250EC1"/>
    <w:rsid w:val="60255718"/>
    <w:rsid w:val="602B2C70"/>
    <w:rsid w:val="60397415"/>
    <w:rsid w:val="603E7832"/>
    <w:rsid w:val="6044067F"/>
    <w:rsid w:val="604E20EA"/>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718E2"/>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687B02"/>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2E018F"/>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8A19B3"/>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next w:val="9"/>
    <w:qFormat/>
    <w:uiPriority w:val="0"/>
    <w:pPr>
      <w:spacing w:after="120" w:afterLines="0"/>
      <w:ind w:left="420" w:leftChars="200"/>
    </w:pPr>
  </w:style>
  <w:style w:type="paragraph" w:styleId="9">
    <w:name w:val="envelope return"/>
    <w:basedOn w:val="1"/>
    <w:unhideWhenUsed/>
    <w:qFormat/>
    <w:uiPriority w:val="0"/>
    <w:pPr>
      <w:snapToGrid w:val="0"/>
    </w:pPr>
    <w:rPr>
      <w:rFonts w:hint="eastAsia" w:ascii="Arial" w:hAnsi="Arial"/>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qFormat/>
    <w:uiPriority w:val="0"/>
    <w:pPr>
      <w:ind w:firstLine="420"/>
    </w:pPr>
    <w:rPr>
      <w:rFonts w:eastAsia="宋体"/>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 w:type="character" w:customStyle="1" w:styleId="33">
    <w:name w:val="font71"/>
    <w:basedOn w:val="20"/>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2887</Words>
  <Characters>3452</Characters>
  <Lines>0</Lines>
  <Paragraphs>0</Paragraphs>
  <TotalTime>10</TotalTime>
  <ScaleCrop>false</ScaleCrop>
  <LinksUpToDate>false</LinksUpToDate>
  <CharactersWithSpaces>3532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MyStic</cp:lastModifiedBy>
  <cp:lastPrinted>2026-03-02T03:37:00Z</cp:lastPrinted>
  <dcterms:modified xsi:type="dcterms:W3CDTF">2026-03-05T06:41:07Z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D11A697664DD4AEDAB7F406CE9EC0FBC_13</vt:lpwstr>
  </property>
  <property fmtid="{D5CDD505-2E9C-101B-9397-08002B2CF9AE}" pid="4" name="KSOTemplateDocerSaveRecord">
    <vt:lpwstr>eyJoZGlkIjoiNGQwNDEwOTliYTQ0MjFkY2Q2Yjg0MDk3OTcwOGQ5NTMiLCJ1c2VySWQiOiI1NTMyMjQzNDEifQ==</vt:lpwstr>
  </property>
</Properties>
</file>