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ADB77F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亳蒙高速一期安全隐患整改、管理区安全整治工程铁艺栏杆和隔离栅采购项目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AHTKJS-2026-009号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2026年3</w:t>
      </w:r>
      <w:r>
        <w:rPr>
          <w:rFonts w:hint="eastAsia" w:ascii="Times New Roman" w:hAnsi="Times New Roman" w:eastAsia="楷体" w:cs="Times New Roman"/>
          <w:kern w:val="0"/>
          <w:sz w:val="32"/>
          <w:szCs w:val="32"/>
          <w:highlight w:val="none"/>
          <w:u w:val="none"/>
          <w:shd w:val="clear" w:color="auto" w:fill="auto"/>
          <w:lang w:val="en-US" w:eastAsia="zh-CN"/>
        </w:rPr>
        <w:t>月6日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亳蒙高速一期安全隐患整改、管理区安全整治工程铁艺栏杆和隔离栅采购项目</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亳蒙高速一期安全隐患整改、管理区安全整治工程铁艺栏杆和隔离栅采购项目</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AHTKJS-2026-009号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26D9F1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24.75万元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供应商根据附件采购清单按</w:t>
      </w:r>
      <w:permStart w:id="8" w:edGrp="everyone"/>
      <w:r>
        <w:rPr>
          <w:rFonts w:hint="eastAsia" w:asciiTheme="minorEastAsia" w:hAnsiTheme="minorEastAsia" w:eastAsiaTheme="minorEastAsia" w:cstheme="minorEastAsia"/>
          <w:color w:val="FF0000"/>
          <w:kern w:val="2"/>
          <w:sz w:val="28"/>
          <w:szCs w:val="28"/>
          <w:highlight w:val="none"/>
          <w:lang w:val="en-US" w:eastAsia="zh-CN"/>
        </w:rPr>
        <w:t>固定单价</w:t>
      </w:r>
      <w:permEnd w:id="8"/>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39EC53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u w:val="none"/>
          <w:lang w:val="en-US" w:eastAsia="zh-CN"/>
        </w:rPr>
        <w:t>铁艺栏杆</w:t>
      </w:r>
      <w:r>
        <w:rPr>
          <w:rFonts w:hint="eastAsia" w:asciiTheme="minorEastAsia" w:hAnsiTheme="minorEastAsia" w:cstheme="minorEastAsia"/>
          <w:sz w:val="28"/>
          <w:szCs w:val="28"/>
          <w:u w:val="none"/>
          <w:lang w:val="en-US" w:eastAsia="zh-CN"/>
        </w:rPr>
        <w:t>（暂定500m）和隔离栅(暂定2000m)采购，</w:t>
      </w:r>
      <w:r>
        <w:rPr>
          <w:rFonts w:hint="eastAsia" w:asciiTheme="minorEastAsia" w:hAnsiTheme="minorEastAsia" w:cstheme="minorEastAsia"/>
          <w:kern w:val="2"/>
          <w:sz w:val="28"/>
          <w:szCs w:val="28"/>
          <w:highlight w:val="none"/>
          <w:lang w:val="en-US" w:eastAsia="zh-CN"/>
        </w:rPr>
        <w:t>供应商响应</w:t>
      </w:r>
      <w:r>
        <w:rPr>
          <w:rFonts w:hint="eastAsia" w:asciiTheme="minorEastAsia" w:hAnsiTheme="minorEastAsia" w:eastAsiaTheme="minorEastAsia" w:cstheme="minorEastAsia"/>
          <w:kern w:val="2"/>
          <w:sz w:val="28"/>
          <w:szCs w:val="28"/>
          <w:highlight w:val="none"/>
          <w:lang w:val="en-US" w:eastAsia="zh-CN"/>
        </w:rPr>
        <w:t>时请仔细审阅有关图纸，</w:t>
      </w:r>
      <w:r>
        <w:rPr>
          <w:rFonts w:hint="eastAsia" w:asciiTheme="minorEastAsia" w:hAnsiTheme="minorEastAsia" w:cstheme="minorEastAsia"/>
          <w:kern w:val="2"/>
          <w:sz w:val="28"/>
          <w:szCs w:val="28"/>
          <w:highlight w:val="none"/>
          <w:lang w:val="en-US" w:eastAsia="zh-CN"/>
        </w:rPr>
        <w:t>响应</w:t>
      </w:r>
      <w:r>
        <w:rPr>
          <w:rFonts w:hint="eastAsia" w:asciiTheme="minorEastAsia" w:hAnsiTheme="minorEastAsia" w:eastAsiaTheme="minorEastAsia" w:cstheme="minorEastAsia"/>
          <w:kern w:val="2"/>
          <w:sz w:val="28"/>
          <w:szCs w:val="28"/>
          <w:highlight w:val="none"/>
          <w:lang w:val="en-US" w:eastAsia="zh-CN"/>
        </w:rPr>
        <w:t>时我方认为</w:t>
      </w:r>
      <w:r>
        <w:rPr>
          <w:rFonts w:hint="eastAsia" w:asciiTheme="minorEastAsia" w:hAnsiTheme="minorEastAsia" w:cstheme="minorEastAsia"/>
          <w:kern w:val="2"/>
          <w:sz w:val="28"/>
          <w:szCs w:val="28"/>
          <w:highlight w:val="none"/>
          <w:lang w:val="en-US" w:eastAsia="zh-CN"/>
        </w:rPr>
        <w:t>供应商</w:t>
      </w:r>
      <w:r>
        <w:rPr>
          <w:rFonts w:hint="eastAsia" w:asciiTheme="minorEastAsia" w:hAnsiTheme="minorEastAsia" w:eastAsiaTheme="minorEastAsia" w:cstheme="minorEastAsia"/>
          <w:kern w:val="2"/>
          <w:sz w:val="28"/>
          <w:szCs w:val="28"/>
          <w:highlight w:val="none"/>
          <w:lang w:val="en-US" w:eastAsia="zh-CN"/>
        </w:rPr>
        <w:t>已充分理解相关技术标准。</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宋体" w:hAnsi="宋体" w:cs="宋体"/>
          <w:color w:val="auto"/>
          <w:kern w:val="2"/>
          <w:sz w:val="28"/>
          <w:szCs w:val="28"/>
          <w:highlight w:val="none"/>
          <w:lang w:val="en-US" w:eastAsia="zh-CN"/>
        </w:rPr>
        <w:t>供货期</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自合同签订之日起60日历天；</w:t>
      </w:r>
      <w:r>
        <w:rPr>
          <w:rFonts w:hint="eastAsia" w:asciiTheme="minorEastAsia" w:hAnsiTheme="minorEastAsia" w:eastAsiaTheme="minorEastAsia" w:cstheme="minorEastAsia"/>
          <w:kern w:val="2"/>
          <w:sz w:val="28"/>
          <w:szCs w:val="28"/>
          <w:highlight w:val="none"/>
          <w:lang w:val="en-US" w:eastAsia="zh-CN"/>
        </w:rPr>
        <w:t>交货期：采购人发出交货指令后20日内完成货物供应。</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宋体" w:hAnsi="宋体" w:eastAsia="宋体" w:cs="宋体"/>
          <w:color w:val="auto"/>
          <w:kern w:val="2"/>
          <w:sz w:val="28"/>
          <w:szCs w:val="28"/>
          <w:highlight w:val="none"/>
          <w:lang w:val="en-US" w:eastAsia="zh-CN"/>
        </w:rPr>
        <w:t>亳州市</w:t>
      </w:r>
      <w:r>
        <w:rPr>
          <w:rFonts w:hint="eastAsia" w:asciiTheme="minorEastAsia" w:hAnsiTheme="minorEastAsia" w:eastAsiaTheme="minorEastAsia" w:cstheme="minorEastAsia"/>
          <w:kern w:val="2"/>
          <w:sz w:val="28"/>
          <w:szCs w:val="28"/>
          <w:highlight w:val="none"/>
          <w:lang w:val="en-US" w:eastAsia="zh-CN"/>
        </w:rPr>
        <w:t>涡阳县标里镇程岳村</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EE5C9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kern w:val="2"/>
          <w:sz w:val="28"/>
          <w:szCs w:val="28"/>
          <w:highlight w:val="none"/>
          <w:lang w:val="en-US" w:eastAsia="zh-CN"/>
        </w:rPr>
        <w:t>具有独立法人资格，并在人员、设备、资金等方面具有承担本项目供货的能力。</w:t>
      </w:r>
    </w:p>
    <w:p w14:paraId="0C204F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u w:val="singl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w:t>
      </w:r>
      <w:permStart w:id="13" w:edGrp="everyone"/>
      <w:r>
        <w:rPr>
          <w:rFonts w:hint="eastAsia" w:asciiTheme="minorEastAsia" w:hAnsiTheme="minorEastAsia" w:eastAsiaTheme="minorEastAsia" w:cstheme="minorEastAsia"/>
          <w:color w:val="FF0000"/>
          <w:kern w:val="2"/>
          <w:sz w:val="28"/>
          <w:szCs w:val="28"/>
          <w:highlight w:val="none"/>
          <w:u w:val="single"/>
          <w:lang w:val="en-US" w:eastAsia="zh-CN"/>
        </w:rPr>
        <w:t>202</w:t>
      </w:r>
      <w:r>
        <w:rPr>
          <w:rFonts w:hint="eastAsia" w:asciiTheme="minorEastAsia" w:hAnsiTheme="minorEastAsia" w:cstheme="minorEastAsia"/>
          <w:color w:val="FF0000"/>
          <w:kern w:val="2"/>
          <w:sz w:val="28"/>
          <w:szCs w:val="28"/>
          <w:highlight w:val="none"/>
          <w:u w:val="single"/>
          <w:lang w:val="en-US" w:eastAsia="zh-CN"/>
        </w:rPr>
        <w:t>3</w:t>
      </w:r>
      <w:permEnd w:id="13"/>
      <w:r>
        <w:rPr>
          <w:rFonts w:hint="eastAsia" w:asciiTheme="minorEastAsia" w:hAnsiTheme="minorEastAsia" w:eastAsiaTheme="minorEastAsia" w:cstheme="minorEastAsia"/>
          <w:kern w:val="2"/>
          <w:sz w:val="28"/>
          <w:szCs w:val="28"/>
          <w:highlight w:val="none"/>
          <w:lang w:val="en-US" w:eastAsia="zh-CN"/>
        </w:rPr>
        <w:t>年至今企业类似项目业绩</w:t>
      </w:r>
      <w:permStart w:id="14" w:edGrp="everyone"/>
      <w:r>
        <w:rPr>
          <w:rFonts w:hint="eastAsia" w:asciiTheme="minorEastAsia" w:hAnsiTheme="minorEastAsia" w:eastAsiaTheme="minorEastAsia" w:cstheme="minorEastAsia"/>
          <w:kern w:val="2"/>
          <w:sz w:val="28"/>
          <w:szCs w:val="28"/>
          <w:highlight w:val="none"/>
          <w:u w:val="single"/>
          <w:lang w:val="en-US" w:eastAsia="zh-CN"/>
        </w:rPr>
        <w:t>1</w:t>
      </w:r>
      <w:permEnd w:id="14"/>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5" w:edGrp="everyone"/>
      <w:r>
        <w:rPr>
          <w:rFonts w:hint="eastAsia" w:asciiTheme="minorEastAsia" w:hAnsiTheme="minorEastAsia" w:eastAsiaTheme="minorEastAsia" w:cstheme="minorEastAsia"/>
          <w:kern w:val="2"/>
          <w:sz w:val="28"/>
          <w:szCs w:val="28"/>
          <w:highlight w:val="none"/>
          <w:lang w:val="en-US" w:eastAsia="zh-CN"/>
        </w:rPr>
        <w:t>合同签订时间</w:t>
      </w:r>
      <w:permEnd w:id="15"/>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kern w:val="2"/>
          <w:sz w:val="28"/>
          <w:szCs w:val="28"/>
          <w:highlight w:val="none"/>
          <w:u w:val="single"/>
          <w:lang w:val="en-US" w:eastAsia="zh-CN"/>
        </w:rPr>
        <w:t xml:space="preserve"> </w:t>
      </w:r>
      <w:r>
        <w:rPr>
          <w:rFonts w:hint="eastAsia" w:asciiTheme="minorEastAsia" w:hAnsiTheme="minorEastAsia" w:eastAsiaTheme="minorEastAsia" w:cstheme="minorEastAsia"/>
          <w:sz w:val="28"/>
          <w:szCs w:val="28"/>
          <w:u w:val="single"/>
          <w:lang w:val="en-US" w:eastAsia="zh-CN"/>
        </w:rPr>
        <w:t>合同金额不低于</w:t>
      </w:r>
      <w:r>
        <w:rPr>
          <w:rFonts w:hint="eastAsia" w:asciiTheme="minorEastAsia" w:hAnsiTheme="minorEastAsia" w:eastAsiaTheme="minorEastAsia" w:cstheme="minorEastAsia"/>
          <w:color w:val="FF0000"/>
          <w:sz w:val="28"/>
          <w:szCs w:val="28"/>
          <w:u w:val="single"/>
          <w:lang w:val="en-US" w:eastAsia="zh-CN"/>
        </w:rPr>
        <w:t>1</w:t>
      </w:r>
      <w:r>
        <w:rPr>
          <w:rFonts w:hint="eastAsia" w:asciiTheme="minorEastAsia" w:hAnsiTheme="minorEastAsia" w:cstheme="minorEastAsia"/>
          <w:color w:val="FF0000"/>
          <w:sz w:val="28"/>
          <w:szCs w:val="28"/>
          <w:u w:val="single"/>
          <w:lang w:val="en-US" w:eastAsia="zh-CN"/>
        </w:rPr>
        <w:t>5</w:t>
      </w:r>
      <w:r>
        <w:rPr>
          <w:rFonts w:hint="eastAsia" w:asciiTheme="minorEastAsia" w:hAnsiTheme="minorEastAsia" w:eastAsiaTheme="minorEastAsia" w:cstheme="minorEastAsia"/>
          <w:sz w:val="28"/>
          <w:szCs w:val="28"/>
          <w:u w:val="single"/>
          <w:lang w:val="en-US" w:eastAsia="zh-CN"/>
        </w:rPr>
        <w:t>万元的铁艺栏杆销售</w:t>
      </w:r>
      <w:r>
        <w:rPr>
          <w:rFonts w:hint="eastAsia" w:asciiTheme="minorEastAsia" w:hAnsiTheme="minorEastAsia" w:cstheme="minorEastAsia"/>
          <w:sz w:val="28"/>
          <w:szCs w:val="28"/>
          <w:u w:val="single"/>
          <w:lang w:val="en-US" w:eastAsia="zh-CN"/>
        </w:rPr>
        <w:t>或隔离栅销售</w:t>
      </w:r>
      <w:r>
        <w:rPr>
          <w:rFonts w:hint="eastAsia" w:asciiTheme="minorEastAsia" w:hAnsiTheme="minorEastAsia" w:eastAsiaTheme="minorEastAsia" w:cstheme="minorEastAsia"/>
          <w:kern w:val="2"/>
          <w:sz w:val="28"/>
          <w:szCs w:val="28"/>
          <w:highlight w:val="none"/>
          <w:u w:val="single"/>
          <w:lang w:val="en-US" w:eastAsia="zh-CN"/>
        </w:rPr>
        <w:t>相关业绩</w:t>
      </w:r>
      <w:r>
        <w:rPr>
          <w:rFonts w:hint="eastAsia" w:asciiTheme="minorEastAsia" w:hAnsiTheme="minorEastAsia" w:cstheme="minorEastAsia"/>
          <w:kern w:val="2"/>
          <w:sz w:val="28"/>
          <w:szCs w:val="28"/>
          <w:highlight w:val="none"/>
          <w:u w:val="single"/>
          <w:lang w:val="en-US" w:eastAsia="zh-CN"/>
        </w:rPr>
        <w:t>。</w:t>
      </w:r>
    </w:p>
    <w:permEnd w:id="16"/>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7"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7"/>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9"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3</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13</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9"/>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0"/>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1"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21"/>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eastAsia" w:asciiTheme="minorEastAsia" w:hAnsiTheme="minorEastAsia" w:cstheme="minorEastAsia"/>
          <w:color w:val="FF0000"/>
          <w:sz w:val="28"/>
          <w:szCs w:val="28"/>
          <w:highlight w:val="none"/>
          <w:u w:val="single"/>
          <w:lang w:val="en-US" w:eastAsia="zh-CN"/>
        </w:rPr>
        <w:t>4900.00元</w:t>
      </w:r>
      <w:r>
        <w:rPr>
          <w:rFonts w:hint="default" w:asciiTheme="minorEastAsia" w:hAnsiTheme="minorEastAsia" w:eastAsiaTheme="minorEastAsia" w:cstheme="minorEastAsia"/>
          <w:color w:val="FF0000"/>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3"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3"/>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王经理 </w:t>
      </w:r>
      <w:permEnd w:id="24"/>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日</w:t>
      </w:r>
    </w:p>
    <w:permEnd w:id="25"/>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6"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6"/>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7"/>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8"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3</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13</w:t>
            </w:r>
            <w:r>
              <w:rPr>
                <w:rFonts w:hint="eastAsia" w:ascii="Times New Roman" w:hAnsi="Times New Roman" w:cs="Times New Roman"/>
                <w:b/>
                <w:bCs/>
                <w:color w:val="FF0000"/>
                <w:szCs w:val="21"/>
                <w:highlight w:val="none"/>
                <w:u w:val="none"/>
                <w:lang w:val="en-US" w:eastAsia="zh-CN"/>
              </w:rPr>
              <w:t>日前</w:t>
            </w:r>
            <w:permEnd w:id="28"/>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9"/>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0"/>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1"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1"/>
            <w:r>
              <w:rPr>
                <w:rFonts w:hint="default" w:ascii="Times New Roman" w:hAnsi="Times New Roman" w:cs="Times New Roman"/>
                <w:szCs w:val="21"/>
                <w:highlight w:val="none"/>
              </w:rPr>
              <w:t>的形式：</w:t>
            </w:r>
            <w:permStart w:id="32" w:edGrp="everyone"/>
            <w:r>
              <w:rPr>
                <w:rFonts w:hint="default" w:ascii="Times New Roman" w:hAnsi="Times New Roman" w:cs="Times New Roman"/>
                <w:b/>
                <w:bCs/>
                <w:color w:val="FF0000"/>
                <w:szCs w:val="21"/>
                <w:highlight w:val="none"/>
              </w:rPr>
              <w:t>银行汇款或转账</w:t>
            </w:r>
            <w:permEnd w:id="32"/>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3" w:edGrp="everyone"/>
            <w:r>
              <w:rPr>
                <w:rFonts w:hint="eastAsia" w:ascii="Times New Roman" w:hAnsi="Times New Roman" w:cs="Times New Roman"/>
                <w:b/>
                <w:bCs/>
                <w:color w:val="FF0000"/>
                <w:szCs w:val="21"/>
                <w:highlight w:val="none"/>
                <w:u w:val="single"/>
                <w:lang w:val="en-US" w:eastAsia="zh-CN"/>
              </w:rPr>
              <w:t xml:space="preserve">4900.00元  </w:t>
            </w:r>
            <w:permEnd w:id="33"/>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b/>
                <w:bCs/>
                <w:color w:val="FF0000"/>
                <w:szCs w:val="21"/>
                <w:highlight w:val="none"/>
                <w:lang w:val="en-US" w:eastAsia="zh-CN"/>
              </w:rPr>
              <w:t>AHTKJS-2026-009号保证金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5"/>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亳蒙高速一期安全隐患整改、管理区安全整治工程铁艺栏杆和隔离栅采购项目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项目编号：AHTKJS-2026-009号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3</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13</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17" w:name="_GoBack"/>
            <w:bookmarkEnd w:id="317"/>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7"/>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8"/>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9"/>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40"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color w:val="FF0000"/>
                <w:szCs w:val="21"/>
                <w:highlight w:val="none"/>
                <w:lang w:val="en-US" w:eastAsia="zh-CN"/>
              </w:rPr>
              <w:t>同响应保证金</w:t>
            </w:r>
            <w:permEnd w:id="4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7085692"/>
      <w:bookmarkStart w:id="1" w:name="_Toc246996921"/>
      <w:bookmarkStart w:id="2" w:name="_Toc246996178"/>
      <w:bookmarkStart w:id="3" w:name="_Toc152045532"/>
      <w:bookmarkStart w:id="4" w:name="_Toc179632549"/>
      <w:bookmarkStart w:id="5" w:name="_Toc152042308"/>
      <w:bookmarkStart w:id="6" w:name="_Toc144974500"/>
      <w:bookmarkStart w:id="7" w:name="_Toc296602423"/>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5536"/>
      <w:bookmarkStart w:id="9" w:name="_Toc152042312"/>
      <w:bookmarkStart w:id="10" w:name="_Toc246996924"/>
      <w:bookmarkStart w:id="11" w:name="_Toc247085695"/>
      <w:bookmarkStart w:id="12" w:name="_Toc144974504"/>
      <w:bookmarkStart w:id="13" w:name="_Toc246996181"/>
      <w:bookmarkStart w:id="14" w:name="_Toc179632553"/>
      <w:bookmarkStart w:id="15" w:name="_Toc29660242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152042313"/>
      <w:bookmarkStart w:id="19" w:name="_Toc179632554"/>
      <w:bookmarkStart w:id="20" w:name="_Toc246996925"/>
      <w:bookmarkStart w:id="21" w:name="_Toc152045537"/>
      <w:bookmarkStart w:id="22" w:name="_Toc296602427"/>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247085697"/>
      <w:bookmarkStart w:id="26" w:name="_Toc144974506"/>
      <w:bookmarkStart w:id="27" w:name="_Toc246996926"/>
      <w:bookmarkStart w:id="28" w:name="_Toc152042314"/>
      <w:bookmarkStart w:id="29" w:name="_Toc152045538"/>
      <w:bookmarkStart w:id="30"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152042318"/>
      <w:bookmarkStart w:id="33" w:name="_Toc179632560"/>
      <w:bookmarkStart w:id="34" w:name="_Toc152045542"/>
      <w:bookmarkStart w:id="35" w:name="_Toc296602432"/>
      <w:bookmarkStart w:id="36" w:name="_Toc247085701"/>
      <w:bookmarkStart w:id="37" w:name="_Toc144974510"/>
      <w:bookmarkStart w:id="38" w:name="_Toc246996187"/>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44974511"/>
      <w:bookmarkStart w:id="40" w:name="_Toc246996188"/>
      <w:bookmarkStart w:id="41" w:name="_Toc152042319"/>
      <w:bookmarkStart w:id="42" w:name="_Toc296602433"/>
      <w:bookmarkStart w:id="43" w:name="_Toc179632561"/>
      <w:bookmarkStart w:id="44" w:name="_Toc246996931"/>
      <w:bookmarkStart w:id="45" w:name="_Toc247085702"/>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247085703"/>
      <w:bookmarkStart w:id="49" w:name="_Toc246996932"/>
      <w:bookmarkStart w:id="50" w:name="_Toc296602434"/>
      <w:bookmarkStart w:id="51" w:name="_Toc144974512"/>
      <w:bookmarkStart w:id="52" w:name="_Toc152042320"/>
      <w:bookmarkStart w:id="53" w:name="_Toc152045544"/>
      <w:bookmarkStart w:id="54" w:name="_Toc246996189"/>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5"/>
      <w:bookmarkStart w:id="56" w:name="_Toc246996190"/>
      <w:bookmarkStart w:id="57" w:name="_Toc179632563"/>
      <w:bookmarkStart w:id="58" w:name="_Toc247085704"/>
      <w:bookmarkStart w:id="59" w:name="_Toc246996933"/>
      <w:bookmarkStart w:id="60" w:name="_Toc144974513"/>
      <w:bookmarkStart w:id="61" w:name="_Toc152045545"/>
      <w:bookmarkStart w:id="62" w:name="_Toc152042321"/>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79632564"/>
      <w:bookmarkStart w:id="64" w:name="_Toc144974514"/>
      <w:bookmarkStart w:id="65" w:name="_Toc247085705"/>
      <w:bookmarkStart w:id="66" w:name="_Toc152045546"/>
      <w:bookmarkStart w:id="67" w:name="_Toc246996934"/>
      <w:bookmarkStart w:id="68" w:name="_Toc246996191"/>
      <w:bookmarkStart w:id="69" w:name="_Toc296602436"/>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935"/>
      <w:bookmarkStart w:id="72" w:name="_Toc152045547"/>
      <w:bookmarkStart w:id="73" w:name="_Toc246996192"/>
      <w:bookmarkStart w:id="74" w:name="_Toc144974515"/>
      <w:bookmarkStart w:id="75" w:name="_Toc179632565"/>
      <w:bookmarkStart w:id="76" w:name="_Toc152042323"/>
      <w:bookmarkStart w:id="77" w:name="_Toc296602437"/>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144974516"/>
      <w:bookmarkStart w:id="81" w:name="_Toc247085707"/>
      <w:bookmarkStart w:id="82" w:name="_Toc246996936"/>
      <w:bookmarkStart w:id="83" w:name="_Toc152045548"/>
      <w:bookmarkStart w:id="84" w:name="_Toc296602438"/>
      <w:bookmarkStart w:id="85" w:name="_Toc152042324"/>
      <w:bookmarkStart w:id="86" w:name="_Toc17963256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44974517"/>
      <w:bookmarkStart w:id="89" w:name="_Toc152045549"/>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47085708"/>
      <w:bookmarkStart w:id="93" w:name="_Toc296602439"/>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46996942"/>
      <w:bookmarkStart w:id="97" w:name="_Toc296602443"/>
      <w:bookmarkStart w:id="98" w:name="_Toc144974523"/>
      <w:bookmarkStart w:id="99" w:name="_Toc247085713"/>
      <w:bookmarkStart w:id="100" w:name="_Toc246996199"/>
      <w:bookmarkStart w:id="101" w:name="_Toc152042331"/>
      <w:bookmarkStart w:id="102" w:name="_Toc17963257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32"/>
      <w:bookmarkStart w:id="104" w:name="_Toc246996200"/>
      <w:bookmarkStart w:id="105" w:name="_Toc296602444"/>
      <w:bookmarkStart w:id="106" w:name="_Toc152045556"/>
      <w:bookmarkStart w:id="107" w:name="_Toc247085714"/>
      <w:bookmarkStart w:id="108" w:name="_Toc246996943"/>
      <w:bookmarkStart w:id="109" w:name="_Toc179632574"/>
      <w:bookmarkStart w:id="110" w:name="_Toc14497452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144974525"/>
      <w:bookmarkStart w:id="113" w:name="_Toc247085715"/>
      <w:bookmarkStart w:id="114" w:name="_Toc152042333"/>
      <w:bookmarkStart w:id="115" w:name="_Toc246996201"/>
      <w:bookmarkStart w:id="116" w:name="_Toc152045557"/>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96602446"/>
      <w:bookmarkStart w:id="119" w:name="_Toc144974526"/>
      <w:bookmarkStart w:id="120" w:name="_Toc152042334"/>
      <w:bookmarkStart w:id="121" w:name="_Toc247085716"/>
      <w:bookmarkStart w:id="122" w:name="_Toc152045558"/>
      <w:bookmarkStart w:id="123" w:name="_Toc246996945"/>
      <w:bookmarkStart w:id="124" w:name="_Toc179632576"/>
      <w:bookmarkStart w:id="125" w:name="_Toc246996202"/>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179632577"/>
      <w:bookmarkStart w:id="128" w:name="_Toc152045559"/>
      <w:bookmarkStart w:id="129" w:name="_Toc152042335"/>
      <w:bookmarkStart w:id="130" w:name="_Toc246996203"/>
      <w:bookmarkStart w:id="131" w:name="_Toc144974527"/>
      <w:bookmarkStart w:id="132" w:name="_Toc246996946"/>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8"/>
      <w:bookmarkStart w:id="135" w:name="_Toc152042336"/>
      <w:bookmarkStart w:id="136" w:name="_Toc152045560"/>
      <w:bookmarkStart w:id="137" w:name="_Toc179632578"/>
      <w:bookmarkStart w:id="138" w:name="_Toc144974528"/>
      <w:bookmarkStart w:id="139" w:name="_Toc296602448"/>
      <w:bookmarkStart w:id="140" w:name="_Toc246996947"/>
      <w:bookmarkStart w:id="141"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948"/>
      <w:bookmarkStart w:id="143" w:name="_Toc247085719"/>
      <w:bookmarkStart w:id="144" w:name="_Toc144974529"/>
      <w:bookmarkStart w:id="145" w:name="_Toc296602449"/>
      <w:bookmarkStart w:id="146" w:name="_Toc152042337"/>
      <w:bookmarkStart w:id="147" w:name="_Toc246996205"/>
      <w:bookmarkStart w:id="148" w:name="_Toc179632579"/>
      <w:bookmarkStart w:id="149" w:name="_Toc152045561"/>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3"/>
      <w:bookmarkStart w:id="151" w:name="_Toc152042339"/>
      <w:bookmarkStart w:id="152" w:name="_Toc296602452"/>
      <w:bookmarkStart w:id="153" w:name="_Toc179632581"/>
      <w:bookmarkStart w:id="154" w:name="_Toc246996950"/>
      <w:bookmarkStart w:id="155" w:name="_Toc246996207"/>
      <w:bookmarkStart w:id="156" w:name="_Toc247085721"/>
      <w:bookmarkStart w:id="157" w:name="_Toc14497453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953"/>
      <w:bookmarkStart w:id="159" w:name="_Toc179632584"/>
      <w:bookmarkStart w:id="160" w:name="_Toc144974534"/>
      <w:bookmarkStart w:id="161" w:name="_Toc152045566"/>
      <w:bookmarkStart w:id="162" w:name="_Toc246996210"/>
      <w:bookmarkStart w:id="163" w:name="_Toc296602455"/>
      <w:bookmarkStart w:id="164" w:name="_Toc152042342"/>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7"/>
      <w:bookmarkStart w:id="167" w:name="_Toc246996211"/>
      <w:bookmarkStart w:id="168" w:name="_Toc144974535"/>
      <w:bookmarkStart w:id="169" w:name="_Toc179632585"/>
      <w:bookmarkStart w:id="170" w:name="_Toc152042343"/>
      <w:bookmarkStart w:id="171" w:name="_Toc247085725"/>
      <w:bookmarkStart w:id="172" w:name="_Toc246996954"/>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152042344"/>
      <w:bookmarkStart w:id="177" w:name="_Toc246996955"/>
      <w:bookmarkStart w:id="178" w:name="_Toc152045568"/>
      <w:bookmarkStart w:id="179" w:name="_Toc246996212"/>
      <w:bookmarkStart w:id="180" w:name="_Toc296602458"/>
      <w:bookmarkStart w:id="181" w:name="_Toc144974536"/>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44974537"/>
      <w:bookmarkStart w:id="184" w:name="_Toc152045569"/>
      <w:bookmarkStart w:id="185" w:name="_Toc179632587"/>
      <w:bookmarkStart w:id="186" w:name="_Toc247085727"/>
      <w:bookmarkStart w:id="187" w:name="_Toc246996213"/>
      <w:bookmarkStart w:id="188" w:name="_Toc296602459"/>
      <w:bookmarkStart w:id="189" w:name="_Toc152042345"/>
      <w:bookmarkStart w:id="190" w:name="_Toc246996956"/>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5575"/>
      <w:bookmarkStart w:id="193" w:name="_Toc152042351"/>
      <w:bookmarkStart w:id="194" w:name="_Toc246996219"/>
      <w:bookmarkStart w:id="195" w:name="_Toc296590983"/>
      <w:bookmarkStart w:id="196" w:name="_Toc247085733"/>
      <w:bookmarkStart w:id="197" w:name="_Toc246996962"/>
      <w:bookmarkStart w:id="198" w:name="_Toc296602462"/>
      <w:bookmarkStart w:id="199" w:name="_Toc179632593"/>
      <w:bookmarkStart w:id="200" w:name="_Toc14497454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246996220"/>
      <w:bookmarkStart w:id="202" w:name="_Toc296602463"/>
      <w:bookmarkStart w:id="203" w:name="_Toc179632594"/>
      <w:bookmarkStart w:id="204" w:name="_Toc152045576"/>
      <w:bookmarkStart w:id="205" w:name="_Toc246996963"/>
      <w:bookmarkStart w:id="206" w:name="_Toc247085734"/>
      <w:bookmarkStart w:id="207" w:name="_Toc152042352"/>
      <w:bookmarkStart w:id="208" w:name="_Toc14497454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96602464"/>
      <w:bookmarkStart w:id="210" w:name="_Toc246996221"/>
      <w:bookmarkStart w:id="211" w:name="_Toc152045577"/>
      <w:bookmarkStart w:id="212" w:name="_Toc246996964"/>
      <w:bookmarkStart w:id="213" w:name="_Toc179632595"/>
      <w:bookmarkStart w:id="214" w:name="_Toc144974545"/>
      <w:bookmarkStart w:id="215" w:name="_Toc247085735"/>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2" w:edGrp="everyone"/>
      <w:r>
        <w:rPr>
          <w:rFonts w:hint="eastAsia" w:ascii="宋体" w:hAnsi="宋体"/>
          <w:color w:val="FF0000"/>
          <w:sz w:val="24"/>
          <w:lang w:val="en-US" w:eastAsia="zh-CN"/>
        </w:rPr>
        <w:t>最低评审价法</w:t>
      </w:r>
      <w:permEnd w:id="42"/>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247085747"/>
            <w:bookmarkStart w:id="219" w:name="_Toc152045589"/>
            <w:bookmarkStart w:id="220" w:name="_Toc152042366"/>
            <w:bookmarkStart w:id="221" w:name="_Toc144974556"/>
            <w:bookmarkStart w:id="222" w:name="_Toc246996975"/>
            <w:bookmarkStart w:id="223" w:name="_Toc179632607"/>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96602481"/>
      <w:bookmarkStart w:id="226" w:name="_Toc247085751"/>
      <w:bookmarkStart w:id="227" w:name="_Toc144974560"/>
      <w:bookmarkStart w:id="228" w:name="_Toc152045593"/>
      <w:bookmarkStart w:id="229" w:name="_Toc246996236"/>
      <w:bookmarkStart w:id="230" w:name="_Toc246996979"/>
      <w:bookmarkStart w:id="231" w:name="_Toc179632611"/>
      <w:bookmarkStart w:id="232" w:name="_Toc15204237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46996982"/>
      <w:bookmarkStart w:id="236" w:name="_Toc246996239"/>
      <w:bookmarkStart w:id="237" w:name="_Toc247085754"/>
      <w:bookmarkStart w:id="238" w:name="_Toc152045596"/>
      <w:bookmarkStart w:id="239" w:name="_Toc152042373"/>
      <w:bookmarkStart w:id="240"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3"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3"/>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408AF67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无预付款，材料到场并经采购人验收合格后，按月办理材料对账单并于次月向成交人支付上月已供合格货物价款的80%，供货完成后30个工作日内，采购人向成交人付至全部合格货物价款的100%。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tbl>
      <w:tblPr>
        <w:tblStyle w:val="16"/>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0"/>
        <w:gridCol w:w="1828"/>
        <w:gridCol w:w="668"/>
        <w:gridCol w:w="787"/>
        <w:gridCol w:w="922"/>
        <w:gridCol w:w="862"/>
        <w:gridCol w:w="961"/>
        <w:gridCol w:w="1025"/>
        <w:gridCol w:w="514"/>
      </w:tblGrid>
      <w:tr w14:paraId="59629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000" w:type="pct"/>
            <w:gridSpan w:val="9"/>
            <w:tcBorders>
              <w:top w:val="nil"/>
              <w:left w:val="nil"/>
              <w:bottom w:val="single" w:color="auto" w:sz="4" w:space="0"/>
              <w:right w:val="nil"/>
            </w:tcBorders>
            <w:shd w:val="clear" w:color="auto" w:fill="auto"/>
            <w:vAlign w:val="center"/>
          </w:tcPr>
          <w:p w14:paraId="57B6C19D">
            <w:pPr>
              <w:keepNext w:val="0"/>
              <w:keepLines w:val="0"/>
              <w:widowControl/>
              <w:suppressLineNumbers w:val="0"/>
              <w:ind w:left="0" w:leftChars="0" w:firstLine="562" w:firstLineChars="200"/>
              <w:jc w:val="left"/>
              <w:textAlignment w:val="center"/>
              <w:rPr>
                <w:rFonts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28"/>
                <w:szCs w:val="28"/>
                <w:u w:val="none"/>
                <w:lang w:val="en-US" w:eastAsia="zh-CN" w:bidi="ar"/>
              </w:rPr>
              <w:t>1、采购</w:t>
            </w:r>
            <w:r>
              <w:rPr>
                <w:rFonts w:ascii="宋体" w:hAnsi="宋体" w:eastAsia="宋体" w:cs="宋体"/>
                <w:b/>
                <w:bCs/>
                <w:i w:val="0"/>
                <w:iCs w:val="0"/>
                <w:color w:val="000000"/>
                <w:kern w:val="0"/>
                <w:sz w:val="28"/>
                <w:szCs w:val="28"/>
                <w:u w:val="none"/>
                <w:lang w:val="en-US" w:eastAsia="zh-CN" w:bidi="ar"/>
              </w:rPr>
              <w:t>清单</w:t>
            </w:r>
          </w:p>
        </w:tc>
      </w:tr>
      <w:tr w14:paraId="0C49B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000" w:type="pct"/>
            <w:gridSpan w:val="9"/>
            <w:tcBorders>
              <w:top w:val="single" w:color="auto" w:sz="4" w:space="0"/>
              <w:left w:val="single" w:color="auto" w:sz="4" w:space="0"/>
              <w:bottom w:val="single" w:color="auto" w:sz="4" w:space="0"/>
              <w:right w:val="single" w:color="auto" w:sz="4" w:space="0"/>
            </w:tcBorders>
            <w:shd w:val="clear" w:color="auto" w:fill="auto"/>
            <w:vAlign w:val="top"/>
          </w:tcPr>
          <w:p w14:paraId="560195EF">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Arial" w:hAnsi="Arial" w:cs="Arial"/>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项目名称：</w:t>
            </w:r>
            <w:r>
              <w:rPr>
                <w:rFonts w:hint="eastAsia" w:ascii="宋体" w:hAnsi="宋体" w:eastAsia="宋体" w:cs="宋体"/>
                <w:i w:val="0"/>
                <w:iCs w:val="0"/>
                <w:color w:val="000000"/>
                <w:kern w:val="0"/>
                <w:sz w:val="21"/>
                <w:szCs w:val="21"/>
                <w:u w:val="none"/>
                <w:lang w:val="en-US" w:eastAsia="zh-CN" w:bidi="ar"/>
              </w:rPr>
              <w:t>亳蒙高速一期安全隐患整改、管理区安全整治工程铁艺栏杆和隔离栅采购项目</w:t>
            </w:r>
          </w:p>
        </w:tc>
      </w:tr>
      <w:tr w14:paraId="47E08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558" w:type="pct"/>
            <w:tcBorders>
              <w:top w:val="single" w:color="auto" w:sz="4" w:space="0"/>
              <w:left w:val="single" w:color="auto" w:sz="4" w:space="0"/>
              <w:bottom w:val="single" w:color="auto" w:sz="4" w:space="0"/>
              <w:right w:val="single" w:color="auto" w:sz="4" w:space="0"/>
            </w:tcBorders>
            <w:shd w:val="clear" w:color="auto" w:fill="auto"/>
            <w:vAlign w:val="center"/>
          </w:tcPr>
          <w:p w14:paraId="035FFBB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序号</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1BF0B11C">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采购名称</w:t>
            </w:r>
          </w:p>
        </w:tc>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4ED970E1">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ascii="宋体" w:hAnsi="宋体" w:eastAsia="宋体" w:cs="宋体"/>
                <w:b w:val="0"/>
                <w:bCs w:val="0"/>
                <w:i w:val="0"/>
                <w:iCs w:val="0"/>
                <w:color w:val="000000"/>
                <w:kern w:val="0"/>
                <w:sz w:val="21"/>
                <w:szCs w:val="21"/>
                <w:u w:val="none"/>
                <w:lang w:val="en-US" w:eastAsia="zh-CN" w:bidi="ar"/>
              </w:rPr>
              <w:t>单位</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451FD7A3">
            <w:pPr>
              <w:keepNext w:val="0"/>
              <w:keepLines w:val="0"/>
              <w:widowControl/>
              <w:suppressLineNumbers w:val="0"/>
              <w:spacing w:line="240" w:lineRule="auto"/>
              <w:ind w:left="0" w:leftChars="0" w:firstLine="0" w:firstLineChars="0"/>
              <w:jc w:val="center"/>
              <w:textAlignment w:val="center"/>
              <w:rPr>
                <w:rFonts w:ascii="宋体" w:hAnsi="宋体" w:eastAsia="宋体" w:cs="宋体"/>
                <w:b w:val="0"/>
                <w:bCs w:val="0"/>
                <w:i w:val="0"/>
                <w:iCs w:val="0"/>
                <w:color w:val="000000"/>
                <w:sz w:val="21"/>
                <w:szCs w:val="21"/>
                <w:u w:val="none"/>
              </w:rPr>
            </w:pPr>
            <w:r>
              <w:rPr>
                <w:rFonts w:ascii="宋体" w:hAnsi="宋体" w:eastAsia="宋体" w:cs="宋体"/>
                <w:b w:val="0"/>
                <w:bCs w:val="0"/>
                <w:i w:val="0"/>
                <w:iCs w:val="0"/>
                <w:color w:val="000000"/>
                <w:kern w:val="0"/>
                <w:sz w:val="21"/>
                <w:szCs w:val="21"/>
                <w:u w:val="none"/>
                <w:lang w:val="en-US" w:eastAsia="zh-CN" w:bidi="ar"/>
              </w:rPr>
              <w:t>数量</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14:paraId="14BA4F7C">
            <w:pPr>
              <w:keepNext w:val="0"/>
              <w:keepLines w:val="0"/>
              <w:widowControl/>
              <w:suppressLineNumbers w:val="0"/>
              <w:spacing w:line="240" w:lineRule="auto"/>
              <w:ind w:left="0" w:leftChars="0" w:firstLine="0" w:firstLineChars="0"/>
              <w:jc w:val="both"/>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单价限价（不含税，元/m）</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1975096E">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单价报价（不含税，元/m）</w:t>
            </w:r>
          </w:p>
        </w:tc>
        <w:tc>
          <w:tcPr>
            <w:tcW w:w="564" w:type="pct"/>
            <w:tcBorders>
              <w:top w:val="single" w:color="auto" w:sz="4" w:space="0"/>
              <w:left w:val="single" w:color="auto" w:sz="4" w:space="0"/>
              <w:bottom w:val="single" w:color="auto" w:sz="4" w:space="0"/>
              <w:right w:val="single" w:color="auto" w:sz="4" w:space="0"/>
            </w:tcBorders>
            <w:shd w:val="clear" w:color="auto" w:fill="auto"/>
            <w:vAlign w:val="center"/>
          </w:tcPr>
          <w:p w14:paraId="42FA2A59">
            <w:pPr>
              <w:keepNext w:val="0"/>
              <w:keepLines w:val="0"/>
              <w:widowControl/>
              <w:suppressLineNumbers w:val="0"/>
              <w:spacing w:line="240" w:lineRule="auto"/>
              <w:ind w:left="0" w:leftChars="0" w:firstLine="0" w:firstLineChars="0"/>
              <w:jc w:val="both"/>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总价</w:t>
            </w:r>
          </w:p>
          <w:p w14:paraId="1AB7DD5E">
            <w:pPr>
              <w:keepNext w:val="0"/>
              <w:keepLines w:val="0"/>
              <w:widowControl/>
              <w:suppressLineNumbers w:val="0"/>
              <w:spacing w:line="240" w:lineRule="auto"/>
              <w:ind w:left="0" w:leftChars="0" w:firstLine="0" w:firstLineChars="0"/>
              <w:jc w:val="both"/>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（不含税，元）</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14:paraId="4E7D251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税率</w:t>
            </w:r>
          </w:p>
        </w:tc>
        <w:tc>
          <w:tcPr>
            <w:tcW w:w="298" w:type="pct"/>
            <w:tcBorders>
              <w:top w:val="single" w:color="auto" w:sz="4" w:space="0"/>
              <w:left w:val="single" w:color="auto" w:sz="4" w:space="0"/>
              <w:bottom w:val="single" w:color="auto" w:sz="4" w:space="0"/>
              <w:right w:val="single" w:color="auto" w:sz="4" w:space="0"/>
            </w:tcBorders>
            <w:shd w:val="clear" w:color="auto" w:fill="auto"/>
            <w:vAlign w:val="center"/>
          </w:tcPr>
          <w:p w14:paraId="078743ED">
            <w:pPr>
              <w:keepNext w:val="0"/>
              <w:keepLines w:val="0"/>
              <w:widowControl/>
              <w:suppressLineNumbers w:val="0"/>
              <w:spacing w:line="240" w:lineRule="auto"/>
              <w:ind w:left="0" w:leftChars="0" w:firstLine="0" w:firstLineChars="0"/>
              <w:jc w:val="center"/>
              <w:textAlignment w:val="top"/>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备注</w:t>
            </w:r>
          </w:p>
        </w:tc>
      </w:tr>
      <w:tr w14:paraId="2E822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558" w:type="pct"/>
            <w:tcBorders>
              <w:top w:val="single" w:color="auto" w:sz="4" w:space="0"/>
              <w:left w:val="single" w:color="auto" w:sz="4" w:space="0"/>
              <w:bottom w:val="single" w:color="auto" w:sz="4" w:space="0"/>
              <w:right w:val="single" w:color="auto" w:sz="4" w:space="0"/>
            </w:tcBorders>
            <w:shd w:val="clear" w:color="auto" w:fill="auto"/>
            <w:vAlign w:val="center"/>
          </w:tcPr>
          <w:p w14:paraId="2CD0DEB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1</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35D7277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隔离栅</w:t>
            </w:r>
          </w:p>
        </w:tc>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3DC0FBC1">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m</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7E466648">
            <w:pPr>
              <w:spacing w:line="240" w:lineRule="auto"/>
              <w:ind w:left="0" w:leftChars="0" w:firstLine="0" w:firstLineChars="0"/>
              <w:jc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4000</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14:paraId="683C9EE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45</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61E004F0">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564" w:type="pct"/>
            <w:tcBorders>
              <w:top w:val="single" w:color="auto" w:sz="4" w:space="0"/>
              <w:left w:val="single" w:color="auto" w:sz="4" w:space="0"/>
              <w:bottom w:val="single" w:color="auto" w:sz="4" w:space="0"/>
              <w:right w:val="single" w:color="auto" w:sz="4" w:space="0"/>
            </w:tcBorders>
            <w:shd w:val="clear" w:color="auto" w:fill="auto"/>
            <w:vAlign w:val="center"/>
          </w:tcPr>
          <w:p w14:paraId="4571EF92">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14:paraId="38B03B59">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p>
        </w:tc>
        <w:tc>
          <w:tcPr>
            <w:tcW w:w="298" w:type="pct"/>
            <w:tcBorders>
              <w:top w:val="single" w:color="auto" w:sz="4" w:space="0"/>
              <w:left w:val="single" w:color="auto" w:sz="4" w:space="0"/>
              <w:bottom w:val="single" w:color="auto" w:sz="4" w:space="0"/>
              <w:right w:val="single" w:color="auto" w:sz="4" w:space="0"/>
            </w:tcBorders>
            <w:shd w:val="clear" w:color="auto" w:fill="auto"/>
            <w:vAlign w:val="center"/>
          </w:tcPr>
          <w:p w14:paraId="7E5F16F8">
            <w:pPr>
              <w:spacing w:line="240" w:lineRule="auto"/>
              <w:jc w:val="center"/>
              <w:rPr>
                <w:rFonts w:hint="eastAsia" w:ascii="宋体" w:hAnsi="宋体" w:eastAsia="宋体" w:cs="宋体"/>
                <w:b w:val="0"/>
                <w:bCs w:val="0"/>
                <w:i w:val="0"/>
                <w:iCs w:val="0"/>
                <w:color w:val="000000"/>
                <w:sz w:val="21"/>
                <w:szCs w:val="21"/>
                <w:u w:val="none"/>
              </w:rPr>
            </w:pPr>
          </w:p>
        </w:tc>
      </w:tr>
      <w:tr w14:paraId="3D235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558" w:type="pct"/>
            <w:tcBorders>
              <w:top w:val="single" w:color="auto" w:sz="4" w:space="0"/>
              <w:left w:val="single" w:color="auto" w:sz="4" w:space="0"/>
              <w:bottom w:val="single" w:color="auto" w:sz="4" w:space="0"/>
              <w:right w:val="single" w:color="auto" w:sz="4" w:space="0"/>
            </w:tcBorders>
            <w:shd w:val="clear" w:color="auto" w:fill="auto"/>
            <w:vAlign w:val="center"/>
          </w:tcPr>
          <w:p w14:paraId="23EACBD4">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2</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3AB6993F">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铁艺栏杆</w:t>
            </w:r>
          </w:p>
        </w:tc>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0BD3D817">
            <w:pPr>
              <w:spacing w:line="240" w:lineRule="auto"/>
              <w:ind w:left="0" w:leftChars="0" w:firstLine="0" w:firstLineChars="0"/>
              <w:jc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val="en-US" w:eastAsia="zh-CN"/>
              </w:rPr>
              <w:t>m</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4FE1B476">
            <w:pPr>
              <w:spacing w:line="240" w:lineRule="auto"/>
              <w:ind w:left="0" w:leftChars="0" w:firstLine="0" w:firstLineChars="0"/>
              <w:jc w:val="center"/>
              <w:rPr>
                <w:rFonts w:hint="default"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val="en-US" w:eastAsia="zh-CN"/>
              </w:rPr>
              <w:t>500</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14:paraId="271B21B0">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135</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5101B767">
            <w:pPr>
              <w:spacing w:line="240" w:lineRule="auto"/>
              <w:ind w:left="0" w:leftChars="0" w:firstLine="0" w:firstLineChars="0"/>
              <w:jc w:val="center"/>
              <w:rPr>
                <w:rFonts w:hint="eastAsia" w:ascii="宋体" w:hAnsi="宋体" w:eastAsia="宋体" w:cs="宋体"/>
                <w:b w:val="0"/>
                <w:bCs w:val="0"/>
                <w:i w:val="0"/>
                <w:iCs w:val="0"/>
                <w:color w:val="000000"/>
                <w:kern w:val="2"/>
                <w:sz w:val="21"/>
                <w:szCs w:val="21"/>
                <w:u w:val="none"/>
                <w:lang w:val="en-US" w:eastAsia="zh-CN" w:bidi="ar-SA"/>
              </w:rPr>
            </w:pPr>
          </w:p>
        </w:tc>
        <w:tc>
          <w:tcPr>
            <w:tcW w:w="564" w:type="pct"/>
            <w:tcBorders>
              <w:top w:val="single" w:color="auto" w:sz="4" w:space="0"/>
              <w:left w:val="single" w:color="auto" w:sz="4" w:space="0"/>
              <w:bottom w:val="single" w:color="auto" w:sz="4" w:space="0"/>
              <w:right w:val="single" w:color="auto" w:sz="4" w:space="0"/>
            </w:tcBorders>
            <w:shd w:val="clear" w:color="auto" w:fill="auto"/>
            <w:vAlign w:val="center"/>
          </w:tcPr>
          <w:p w14:paraId="3A5AA484">
            <w:pPr>
              <w:spacing w:line="240" w:lineRule="auto"/>
              <w:ind w:left="0" w:leftChars="0" w:firstLine="0" w:firstLineChars="0"/>
              <w:jc w:val="center"/>
              <w:rPr>
                <w:rFonts w:hint="eastAsia" w:ascii="宋体" w:hAnsi="宋体" w:eastAsia="宋体" w:cs="宋体"/>
                <w:b w:val="0"/>
                <w:bCs w:val="0"/>
                <w:i w:val="0"/>
                <w:iCs w:val="0"/>
                <w:color w:val="000000"/>
                <w:kern w:val="2"/>
                <w:sz w:val="21"/>
                <w:szCs w:val="21"/>
                <w:u w:val="none"/>
                <w:lang w:val="en-US" w:eastAsia="zh-CN" w:bidi="ar-SA"/>
              </w:rPr>
            </w:pP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14:paraId="0F03D3F3">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kern w:val="2"/>
                <w:sz w:val="21"/>
                <w:szCs w:val="21"/>
                <w:u w:val="none"/>
                <w:lang w:val="en-US" w:eastAsia="zh-CN" w:bidi="ar-SA"/>
              </w:rPr>
            </w:pPr>
          </w:p>
        </w:tc>
        <w:tc>
          <w:tcPr>
            <w:tcW w:w="298" w:type="pct"/>
            <w:tcBorders>
              <w:top w:val="single" w:color="auto" w:sz="4" w:space="0"/>
              <w:left w:val="single" w:color="auto" w:sz="4" w:space="0"/>
              <w:bottom w:val="single" w:color="auto" w:sz="4" w:space="0"/>
              <w:right w:val="single" w:color="auto" w:sz="4" w:space="0"/>
            </w:tcBorders>
            <w:shd w:val="clear" w:color="auto" w:fill="auto"/>
            <w:vAlign w:val="center"/>
          </w:tcPr>
          <w:p w14:paraId="5F533345">
            <w:pPr>
              <w:spacing w:line="240" w:lineRule="auto"/>
              <w:jc w:val="center"/>
              <w:rPr>
                <w:rFonts w:hint="eastAsia" w:ascii="宋体" w:hAnsi="宋体" w:eastAsia="宋体" w:cs="宋体"/>
                <w:b w:val="0"/>
                <w:bCs w:val="0"/>
                <w:i w:val="0"/>
                <w:iCs w:val="0"/>
                <w:color w:val="000000"/>
                <w:kern w:val="2"/>
                <w:sz w:val="21"/>
                <w:szCs w:val="21"/>
                <w:u w:val="none"/>
                <w:lang w:val="en-US" w:eastAsia="zh-CN" w:bidi="ar-SA"/>
              </w:rPr>
            </w:pPr>
          </w:p>
        </w:tc>
      </w:tr>
      <w:tr w14:paraId="78884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5000" w:type="pct"/>
            <w:gridSpan w:val="9"/>
            <w:tcBorders>
              <w:top w:val="single" w:color="auto" w:sz="4" w:space="0"/>
              <w:left w:val="single" w:color="auto" w:sz="4" w:space="0"/>
              <w:bottom w:val="single" w:color="auto" w:sz="4" w:space="0"/>
              <w:right w:val="single" w:color="auto" w:sz="4" w:space="0"/>
            </w:tcBorders>
            <w:shd w:val="clear" w:color="auto" w:fill="auto"/>
            <w:vAlign w:val="bottom"/>
          </w:tcPr>
          <w:p w14:paraId="7A742B76">
            <w:pPr>
              <w:keepNext w:val="0"/>
              <w:keepLines w:val="0"/>
              <w:widowControl w:val="0"/>
              <w:suppressLineNumbers w:val="0"/>
              <w:wordWrap w:val="0"/>
              <w:spacing w:line="480" w:lineRule="exact"/>
              <w:jc w:val="both"/>
              <w:textAlignment w:val="auto"/>
              <w:rPr>
                <w:rFonts w:hint="eastAsia" w:ascii="宋体" w:hAnsi="宋体" w:eastAsia="宋体" w:cs="宋体"/>
                <w:color w:val="000000"/>
                <w:kern w:val="0"/>
                <w:sz w:val="21"/>
                <w:szCs w:val="21"/>
                <w:u w:val="none"/>
                <w:lang w:val="en-US" w:eastAsia="zh-CN" w:bidi="ar"/>
              </w:rPr>
            </w:pPr>
            <w:r>
              <w:rPr>
                <w:rFonts w:hint="eastAsia" w:ascii="宋体" w:hAnsi="宋体" w:eastAsia="宋体" w:cs="宋体"/>
                <w:color w:val="000000"/>
                <w:kern w:val="0"/>
                <w:sz w:val="21"/>
                <w:szCs w:val="21"/>
                <w:highlight w:val="none"/>
                <w:u w:val="none"/>
                <w:lang w:val="en-US" w:eastAsia="zh-CN" w:bidi="ar"/>
              </w:rPr>
              <w:t>注：</w:t>
            </w:r>
          </w:p>
          <w:p w14:paraId="0F226019">
            <w:pPr>
              <w:keepNext w:val="0"/>
              <w:keepLines w:val="0"/>
              <w:widowControl w:val="0"/>
              <w:suppressLineNumbers w:val="0"/>
              <w:wordWrap w:val="0"/>
              <w:spacing w:line="480" w:lineRule="exact"/>
              <w:ind w:firstLine="420" w:firstLineChars="200"/>
              <w:jc w:val="both"/>
              <w:textAlignment w:val="auto"/>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u w:val="none"/>
                <w:lang w:val="en-US" w:eastAsia="zh-CN" w:bidi="ar"/>
              </w:rPr>
              <w:t>1.</w:t>
            </w:r>
            <w:r>
              <w:rPr>
                <w:rFonts w:hint="eastAsia" w:ascii="宋体" w:hAnsi="宋体" w:eastAsia="宋体" w:cs="宋体"/>
                <w:color w:val="000000"/>
                <w:kern w:val="0"/>
                <w:sz w:val="21"/>
                <w:szCs w:val="21"/>
                <w:highlight w:val="none"/>
                <w:u w:val="none"/>
                <w:lang w:val="en-US" w:eastAsia="zh-CN" w:bidi="ar"/>
              </w:rPr>
              <w:t>响应报价包括但不限于原材料、生产加工费用、运费、税费等产生的所有费用，请供应商报价时综合考虑。</w:t>
            </w:r>
          </w:p>
          <w:p w14:paraId="3CA209B6">
            <w:pPr>
              <w:keepNext w:val="0"/>
              <w:keepLines w:val="0"/>
              <w:widowControl w:val="0"/>
              <w:suppressLineNumbers w:val="0"/>
              <w:wordWrap w:val="0"/>
              <w:spacing w:line="480" w:lineRule="exact"/>
              <w:ind w:firstLine="420" w:firstLineChars="200"/>
              <w:jc w:val="both"/>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000000"/>
                <w:kern w:val="0"/>
                <w:sz w:val="21"/>
                <w:szCs w:val="21"/>
                <w:highlight w:val="none"/>
                <w:u w:val="none"/>
                <w:lang w:val="en-US" w:eastAsia="zh-CN" w:bidi="ar"/>
              </w:rPr>
              <w:t>2.采购材料为为生产成型后的成品，采购数量为暂定数量，具体以实际供应合格工程量为准（因建设单位原因出现停工、停建、变更等情况造成承包范围增减，采购人不承担任何责任，采购人有权对供应范围做出调整）。</w:t>
            </w:r>
          </w:p>
        </w:tc>
      </w:tr>
    </w:tbl>
    <w:p w14:paraId="0469B3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材料进场时需提供检测合格证明，成交人应保证所供产品完全符合合同及相关规范约定的质量、规格和性能的要求，如成交人所供产品不符合本次采购约定的质量标准，采购人有权拒收，成交人无条件退/换货，同时按成交价款的10%对采购人承担违约金,且成交人无条件承担因此给采购人所造成其他一切损失。</w:t>
      </w:r>
    </w:p>
    <w:p w14:paraId="5656A5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3</w:t>
      </w:r>
      <w:r>
        <w:rPr>
          <w:rFonts w:hint="eastAsia" w:asciiTheme="minorEastAsia" w:hAnsiTheme="minorEastAsia" w:eastAsiaTheme="minorEastAsia" w:cstheme="minorEastAsia"/>
          <w:kern w:val="2"/>
          <w:sz w:val="28"/>
          <w:szCs w:val="28"/>
          <w:highlight w:val="none"/>
          <w:lang w:val="en-US" w:eastAsia="zh-CN"/>
        </w:rPr>
        <w:t>.合同履行中任何涉及采购人确认的材料结算、对账等资料，均需采购人书面确认。未经采购人书面确认的任何单据，采购人均不予认可。</w:t>
      </w:r>
    </w:p>
    <w:p w14:paraId="44B992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14:paraId="6B3E6A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15ACD9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33A49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653B9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4BF63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12188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亳蒙高速一期安全隐患整改、管理区安全整治工程铁艺栏杆和隔离栅采购项目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AHTKJS-2026-009号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247514246"/>
      <w:bookmarkStart w:id="242" w:name="_Toc144974856"/>
      <w:bookmarkStart w:id="243" w:name="_Toc247527827"/>
      <w:bookmarkStart w:id="244" w:name="_Toc152045787"/>
      <w:bookmarkStart w:id="245" w:name="_Toc300835209"/>
      <w:bookmarkStart w:id="246" w:name="_Toc15204257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152045788"/>
      <w:bookmarkStart w:id="248" w:name="_Toc247514247"/>
      <w:bookmarkStart w:id="249" w:name="_Toc247527828"/>
      <w:bookmarkStart w:id="250" w:name="_Toc144974857"/>
      <w:bookmarkStart w:id="251" w:name="_Toc300835210"/>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144974859"/>
      <w:bookmarkStart w:id="255" w:name="_Toc152045790"/>
      <w:bookmarkStart w:id="256" w:name="_Toc247527830"/>
      <w:bookmarkStart w:id="257" w:name="_Toc247514249"/>
      <w:bookmarkStart w:id="258" w:name="_Toc15204257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000000" w:themeColor="text1"/>
          <w:szCs w:val="21"/>
          <w:u w:val="single"/>
          <w:lang w:val="en-US" w:eastAsia="zh-CN"/>
          <w14:textFill>
            <w14:solidFill>
              <w14:schemeClr w14:val="tx1"/>
            </w14:solidFill>
          </w14:textFill>
        </w:rPr>
        <w:t>亳蒙高速一期安全隐患整改、管理区安全整治工程铁艺栏杆和隔离栅采购项目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AHTKJS-2026-009号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不含税人民币（大写）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另外，增值税税率为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w:t>
      </w:r>
      <w:r>
        <w:rPr>
          <w:rFonts w:hint="eastAsia" w:ascii="Times New Roman" w:hAnsi="Times New Roman" w:cs="Times New Roman"/>
          <w:color w:val="FF0000"/>
          <w:szCs w:val="21"/>
          <w:u w:val="single"/>
          <w:lang w:val="en-US" w:eastAsia="zh-CN"/>
        </w:rPr>
        <w:t>供货期：自合同签订之日起60日历天；交货期：采购人发出交货指令后20日内完成货物供应，按合同约定完成本项目全部工作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152045791"/>
      <w:bookmarkStart w:id="260" w:name="_Toc247527831"/>
      <w:bookmarkStart w:id="261" w:name="_Toc144974860"/>
      <w:bookmarkStart w:id="262" w:name="_Toc152042580"/>
      <w:bookmarkStart w:id="263" w:name="_Toc300835213"/>
      <w:bookmarkStart w:id="264" w:name="_Toc247514283"/>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247527832"/>
      <w:bookmarkStart w:id="267" w:name="_Toc152045792"/>
      <w:bookmarkStart w:id="268" w:name="_Toc144974861"/>
      <w:bookmarkStart w:id="269" w:name="_Toc247514284"/>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152042583"/>
      <w:bookmarkStart w:id="273" w:name="_Toc144974862"/>
      <w:bookmarkStart w:id="274" w:name="_Toc300835216"/>
      <w:bookmarkStart w:id="275" w:name="_Toc247514286"/>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144974863"/>
      <w:bookmarkStart w:id="280" w:name="_Toc247527835"/>
      <w:bookmarkStart w:id="281" w:name="_Toc152045795"/>
      <w:bookmarkStart w:id="282" w:name="_Toc300835218"/>
      <w:bookmarkStart w:id="283" w:name="_Toc247514287"/>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2"/>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4"/>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0"/>
        <w:gridCol w:w="1828"/>
        <w:gridCol w:w="668"/>
        <w:gridCol w:w="787"/>
        <w:gridCol w:w="922"/>
        <w:gridCol w:w="862"/>
        <w:gridCol w:w="961"/>
        <w:gridCol w:w="1025"/>
        <w:gridCol w:w="514"/>
      </w:tblGrid>
      <w:tr w14:paraId="74A5B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000" w:type="pct"/>
            <w:gridSpan w:val="9"/>
            <w:tcBorders>
              <w:top w:val="nil"/>
              <w:left w:val="nil"/>
              <w:bottom w:val="single" w:color="auto" w:sz="4" w:space="0"/>
              <w:right w:val="nil"/>
            </w:tcBorders>
            <w:shd w:val="clear" w:color="auto" w:fill="auto"/>
            <w:vAlign w:val="center"/>
          </w:tcPr>
          <w:p w14:paraId="54504CFB">
            <w:pPr>
              <w:keepNext w:val="0"/>
              <w:keepLines w:val="0"/>
              <w:widowControl/>
              <w:suppressLineNumbers w:val="0"/>
              <w:ind w:left="0" w:leftChars="0" w:firstLine="643" w:firstLineChars="200"/>
              <w:jc w:val="left"/>
              <w:textAlignment w:val="center"/>
              <w:rPr>
                <w:rFonts w:ascii="宋体" w:hAnsi="宋体" w:eastAsia="宋体" w:cs="宋体"/>
                <w:b/>
                <w:bCs/>
                <w:i w:val="0"/>
                <w:iCs w:val="0"/>
                <w:color w:val="000000"/>
                <w:sz w:val="32"/>
                <w:szCs w:val="32"/>
                <w:u w:val="none"/>
              </w:rPr>
            </w:pPr>
          </w:p>
        </w:tc>
      </w:tr>
      <w:tr w14:paraId="234F0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000" w:type="pct"/>
            <w:gridSpan w:val="9"/>
            <w:tcBorders>
              <w:top w:val="single" w:color="auto" w:sz="4" w:space="0"/>
              <w:left w:val="single" w:color="auto" w:sz="4" w:space="0"/>
              <w:bottom w:val="single" w:color="auto" w:sz="4" w:space="0"/>
              <w:right w:val="single" w:color="auto" w:sz="4" w:space="0"/>
            </w:tcBorders>
            <w:shd w:val="clear" w:color="auto" w:fill="auto"/>
            <w:vAlign w:val="top"/>
          </w:tcPr>
          <w:p w14:paraId="7032FA1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Arial" w:hAnsi="Arial" w:cs="Arial"/>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亳蒙高速一期安全隐患整改、管理区安全整治工程铁艺栏杆和隔离栅采购项目报价表</w:t>
            </w:r>
          </w:p>
        </w:tc>
      </w:tr>
      <w:tr w14:paraId="2AF18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558" w:type="pct"/>
            <w:tcBorders>
              <w:top w:val="single" w:color="auto" w:sz="4" w:space="0"/>
              <w:left w:val="single" w:color="auto" w:sz="4" w:space="0"/>
              <w:bottom w:val="single" w:color="auto" w:sz="4" w:space="0"/>
              <w:right w:val="single" w:color="auto" w:sz="4" w:space="0"/>
            </w:tcBorders>
            <w:shd w:val="clear" w:color="auto" w:fill="auto"/>
            <w:vAlign w:val="center"/>
          </w:tcPr>
          <w:p w14:paraId="7D20B15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序号</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31C7A8EB">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采购名称</w:t>
            </w:r>
          </w:p>
        </w:tc>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577A2C71">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ascii="宋体" w:hAnsi="宋体" w:eastAsia="宋体" w:cs="宋体"/>
                <w:b w:val="0"/>
                <w:bCs w:val="0"/>
                <w:i w:val="0"/>
                <w:iCs w:val="0"/>
                <w:color w:val="000000"/>
                <w:kern w:val="0"/>
                <w:sz w:val="21"/>
                <w:szCs w:val="21"/>
                <w:u w:val="none"/>
                <w:lang w:val="en-US" w:eastAsia="zh-CN" w:bidi="ar"/>
              </w:rPr>
              <w:t>单位</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4E5341D8">
            <w:pPr>
              <w:keepNext w:val="0"/>
              <w:keepLines w:val="0"/>
              <w:widowControl/>
              <w:suppressLineNumbers w:val="0"/>
              <w:spacing w:line="240" w:lineRule="auto"/>
              <w:ind w:left="0" w:leftChars="0" w:firstLine="0" w:firstLineChars="0"/>
              <w:jc w:val="center"/>
              <w:textAlignment w:val="center"/>
              <w:rPr>
                <w:rFonts w:ascii="宋体" w:hAnsi="宋体" w:eastAsia="宋体" w:cs="宋体"/>
                <w:b w:val="0"/>
                <w:bCs w:val="0"/>
                <w:i w:val="0"/>
                <w:iCs w:val="0"/>
                <w:color w:val="000000"/>
                <w:sz w:val="21"/>
                <w:szCs w:val="21"/>
                <w:u w:val="none"/>
              </w:rPr>
            </w:pPr>
            <w:r>
              <w:rPr>
                <w:rFonts w:ascii="宋体" w:hAnsi="宋体" w:eastAsia="宋体" w:cs="宋体"/>
                <w:b w:val="0"/>
                <w:bCs w:val="0"/>
                <w:i w:val="0"/>
                <w:iCs w:val="0"/>
                <w:color w:val="000000"/>
                <w:kern w:val="0"/>
                <w:sz w:val="21"/>
                <w:szCs w:val="21"/>
                <w:u w:val="none"/>
                <w:lang w:val="en-US" w:eastAsia="zh-CN" w:bidi="ar"/>
              </w:rPr>
              <w:t>数量</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14:paraId="7FA57CAC">
            <w:pPr>
              <w:keepNext w:val="0"/>
              <w:keepLines w:val="0"/>
              <w:widowControl/>
              <w:suppressLineNumbers w:val="0"/>
              <w:spacing w:line="240" w:lineRule="auto"/>
              <w:ind w:left="0" w:leftChars="0" w:firstLine="0" w:firstLineChars="0"/>
              <w:jc w:val="both"/>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单价限价（不含税，元/m）</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36646CB9">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单价报价（不含税，元/m）</w:t>
            </w:r>
          </w:p>
        </w:tc>
        <w:tc>
          <w:tcPr>
            <w:tcW w:w="564" w:type="pct"/>
            <w:tcBorders>
              <w:top w:val="single" w:color="auto" w:sz="4" w:space="0"/>
              <w:left w:val="single" w:color="auto" w:sz="4" w:space="0"/>
              <w:bottom w:val="single" w:color="auto" w:sz="4" w:space="0"/>
              <w:right w:val="single" w:color="auto" w:sz="4" w:space="0"/>
            </w:tcBorders>
            <w:shd w:val="clear" w:color="auto" w:fill="auto"/>
            <w:vAlign w:val="center"/>
          </w:tcPr>
          <w:p w14:paraId="570AE752">
            <w:pPr>
              <w:keepNext w:val="0"/>
              <w:keepLines w:val="0"/>
              <w:widowControl/>
              <w:suppressLineNumbers w:val="0"/>
              <w:spacing w:line="240" w:lineRule="auto"/>
              <w:ind w:left="0" w:leftChars="0" w:firstLine="0" w:firstLineChars="0"/>
              <w:jc w:val="both"/>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总价</w:t>
            </w:r>
          </w:p>
          <w:p w14:paraId="0A7738E5">
            <w:pPr>
              <w:keepNext w:val="0"/>
              <w:keepLines w:val="0"/>
              <w:widowControl/>
              <w:suppressLineNumbers w:val="0"/>
              <w:spacing w:line="240" w:lineRule="auto"/>
              <w:ind w:left="0" w:leftChars="0" w:firstLine="0" w:firstLineChars="0"/>
              <w:jc w:val="both"/>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（不含税，元）</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14:paraId="48F182E0">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税率</w:t>
            </w:r>
          </w:p>
        </w:tc>
        <w:tc>
          <w:tcPr>
            <w:tcW w:w="298" w:type="pct"/>
            <w:tcBorders>
              <w:top w:val="single" w:color="auto" w:sz="4" w:space="0"/>
              <w:left w:val="single" w:color="auto" w:sz="4" w:space="0"/>
              <w:bottom w:val="single" w:color="auto" w:sz="4" w:space="0"/>
              <w:right w:val="single" w:color="auto" w:sz="4" w:space="0"/>
            </w:tcBorders>
            <w:shd w:val="clear" w:color="auto" w:fill="auto"/>
            <w:vAlign w:val="center"/>
          </w:tcPr>
          <w:p w14:paraId="1246F4D6">
            <w:pPr>
              <w:keepNext w:val="0"/>
              <w:keepLines w:val="0"/>
              <w:widowControl/>
              <w:suppressLineNumbers w:val="0"/>
              <w:spacing w:line="240" w:lineRule="auto"/>
              <w:ind w:left="0" w:leftChars="0" w:firstLine="0" w:firstLineChars="0"/>
              <w:jc w:val="center"/>
              <w:textAlignment w:val="top"/>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备注</w:t>
            </w:r>
          </w:p>
        </w:tc>
      </w:tr>
      <w:tr w14:paraId="580EE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558" w:type="pct"/>
            <w:tcBorders>
              <w:top w:val="single" w:color="auto" w:sz="4" w:space="0"/>
              <w:left w:val="single" w:color="auto" w:sz="4" w:space="0"/>
              <w:bottom w:val="single" w:color="auto" w:sz="4" w:space="0"/>
              <w:right w:val="single" w:color="auto" w:sz="4" w:space="0"/>
            </w:tcBorders>
            <w:shd w:val="clear" w:color="auto" w:fill="auto"/>
            <w:vAlign w:val="center"/>
          </w:tcPr>
          <w:p w14:paraId="2CDFCCA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1</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5682D844">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隔离栅</w:t>
            </w:r>
          </w:p>
        </w:tc>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1E04896A">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m</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1E445756">
            <w:pPr>
              <w:spacing w:line="240" w:lineRule="auto"/>
              <w:ind w:left="0" w:leftChars="0" w:firstLine="0" w:firstLineChars="0"/>
              <w:jc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4000</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14:paraId="5CD88220">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45</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749BC603">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564" w:type="pct"/>
            <w:tcBorders>
              <w:top w:val="single" w:color="auto" w:sz="4" w:space="0"/>
              <w:left w:val="single" w:color="auto" w:sz="4" w:space="0"/>
              <w:bottom w:val="single" w:color="auto" w:sz="4" w:space="0"/>
              <w:right w:val="single" w:color="auto" w:sz="4" w:space="0"/>
            </w:tcBorders>
            <w:shd w:val="clear" w:color="auto" w:fill="auto"/>
            <w:vAlign w:val="center"/>
          </w:tcPr>
          <w:p w14:paraId="5ADDC53F">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14:paraId="4317CE34">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p>
        </w:tc>
        <w:tc>
          <w:tcPr>
            <w:tcW w:w="298" w:type="pct"/>
            <w:tcBorders>
              <w:top w:val="single" w:color="auto" w:sz="4" w:space="0"/>
              <w:left w:val="single" w:color="auto" w:sz="4" w:space="0"/>
              <w:bottom w:val="single" w:color="auto" w:sz="4" w:space="0"/>
              <w:right w:val="single" w:color="auto" w:sz="4" w:space="0"/>
            </w:tcBorders>
            <w:shd w:val="clear" w:color="auto" w:fill="auto"/>
            <w:vAlign w:val="center"/>
          </w:tcPr>
          <w:p w14:paraId="76E27481">
            <w:pPr>
              <w:spacing w:line="240" w:lineRule="auto"/>
              <w:jc w:val="center"/>
              <w:rPr>
                <w:rFonts w:hint="eastAsia" w:ascii="宋体" w:hAnsi="宋体" w:eastAsia="宋体" w:cs="宋体"/>
                <w:b w:val="0"/>
                <w:bCs w:val="0"/>
                <w:i w:val="0"/>
                <w:iCs w:val="0"/>
                <w:color w:val="000000"/>
                <w:sz w:val="21"/>
                <w:szCs w:val="21"/>
                <w:u w:val="none"/>
              </w:rPr>
            </w:pPr>
          </w:p>
        </w:tc>
      </w:tr>
      <w:tr w14:paraId="6C0B8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558" w:type="pct"/>
            <w:tcBorders>
              <w:top w:val="single" w:color="auto" w:sz="4" w:space="0"/>
              <w:left w:val="single" w:color="auto" w:sz="4" w:space="0"/>
              <w:bottom w:val="single" w:color="auto" w:sz="4" w:space="0"/>
              <w:right w:val="single" w:color="auto" w:sz="4" w:space="0"/>
            </w:tcBorders>
            <w:shd w:val="clear" w:color="auto" w:fill="auto"/>
            <w:vAlign w:val="center"/>
          </w:tcPr>
          <w:p w14:paraId="7D86133B">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2</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5BB9B8A3">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铁艺栏杆</w:t>
            </w:r>
          </w:p>
        </w:tc>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71C7650A">
            <w:pPr>
              <w:spacing w:line="240" w:lineRule="auto"/>
              <w:ind w:left="0" w:leftChars="0" w:firstLine="0" w:firstLineChars="0"/>
              <w:jc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val="en-US" w:eastAsia="zh-CN"/>
              </w:rPr>
              <w:t>m</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30538A7E">
            <w:pPr>
              <w:spacing w:line="240" w:lineRule="auto"/>
              <w:ind w:left="0" w:leftChars="0" w:firstLine="0" w:firstLineChars="0"/>
              <w:jc w:val="center"/>
              <w:rPr>
                <w:rFonts w:hint="default"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val="en-US" w:eastAsia="zh-CN"/>
              </w:rPr>
              <w:t>500</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14:paraId="4360651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135</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15B932EE">
            <w:pPr>
              <w:spacing w:line="240" w:lineRule="auto"/>
              <w:ind w:left="0" w:leftChars="0" w:firstLine="0" w:firstLineChars="0"/>
              <w:jc w:val="center"/>
              <w:rPr>
                <w:rFonts w:hint="eastAsia" w:ascii="宋体" w:hAnsi="宋体" w:eastAsia="宋体" w:cs="宋体"/>
                <w:b w:val="0"/>
                <w:bCs w:val="0"/>
                <w:i w:val="0"/>
                <w:iCs w:val="0"/>
                <w:color w:val="000000"/>
                <w:kern w:val="2"/>
                <w:sz w:val="21"/>
                <w:szCs w:val="21"/>
                <w:u w:val="none"/>
                <w:lang w:val="en-US" w:eastAsia="zh-CN" w:bidi="ar-SA"/>
              </w:rPr>
            </w:pPr>
          </w:p>
        </w:tc>
        <w:tc>
          <w:tcPr>
            <w:tcW w:w="564" w:type="pct"/>
            <w:tcBorders>
              <w:top w:val="single" w:color="auto" w:sz="4" w:space="0"/>
              <w:left w:val="single" w:color="auto" w:sz="4" w:space="0"/>
              <w:bottom w:val="single" w:color="auto" w:sz="4" w:space="0"/>
              <w:right w:val="single" w:color="auto" w:sz="4" w:space="0"/>
            </w:tcBorders>
            <w:shd w:val="clear" w:color="auto" w:fill="auto"/>
            <w:vAlign w:val="center"/>
          </w:tcPr>
          <w:p w14:paraId="06EC37A9">
            <w:pPr>
              <w:spacing w:line="240" w:lineRule="auto"/>
              <w:ind w:left="0" w:leftChars="0" w:firstLine="0" w:firstLineChars="0"/>
              <w:jc w:val="center"/>
              <w:rPr>
                <w:rFonts w:hint="eastAsia" w:ascii="宋体" w:hAnsi="宋体" w:eastAsia="宋体" w:cs="宋体"/>
                <w:b w:val="0"/>
                <w:bCs w:val="0"/>
                <w:i w:val="0"/>
                <w:iCs w:val="0"/>
                <w:color w:val="000000"/>
                <w:kern w:val="2"/>
                <w:sz w:val="21"/>
                <w:szCs w:val="21"/>
                <w:u w:val="none"/>
                <w:lang w:val="en-US" w:eastAsia="zh-CN" w:bidi="ar-SA"/>
              </w:rPr>
            </w:pP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14:paraId="3C1B8451">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kern w:val="2"/>
                <w:sz w:val="21"/>
                <w:szCs w:val="21"/>
                <w:u w:val="none"/>
                <w:lang w:val="en-US" w:eastAsia="zh-CN" w:bidi="ar-SA"/>
              </w:rPr>
            </w:pPr>
          </w:p>
        </w:tc>
        <w:tc>
          <w:tcPr>
            <w:tcW w:w="298" w:type="pct"/>
            <w:tcBorders>
              <w:top w:val="single" w:color="auto" w:sz="4" w:space="0"/>
              <w:left w:val="single" w:color="auto" w:sz="4" w:space="0"/>
              <w:bottom w:val="single" w:color="auto" w:sz="4" w:space="0"/>
              <w:right w:val="single" w:color="auto" w:sz="4" w:space="0"/>
            </w:tcBorders>
            <w:shd w:val="clear" w:color="auto" w:fill="auto"/>
            <w:vAlign w:val="center"/>
          </w:tcPr>
          <w:p w14:paraId="0EFC88DD">
            <w:pPr>
              <w:spacing w:line="240" w:lineRule="auto"/>
              <w:jc w:val="center"/>
              <w:rPr>
                <w:rFonts w:hint="eastAsia" w:ascii="宋体" w:hAnsi="宋体" w:eastAsia="宋体" w:cs="宋体"/>
                <w:b w:val="0"/>
                <w:bCs w:val="0"/>
                <w:i w:val="0"/>
                <w:iCs w:val="0"/>
                <w:color w:val="000000"/>
                <w:kern w:val="2"/>
                <w:sz w:val="21"/>
                <w:szCs w:val="21"/>
                <w:u w:val="none"/>
                <w:lang w:val="en-US" w:eastAsia="zh-CN" w:bidi="ar-SA"/>
              </w:rPr>
            </w:pPr>
          </w:p>
        </w:tc>
      </w:tr>
      <w:tr w14:paraId="587FA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5000" w:type="pct"/>
            <w:gridSpan w:val="9"/>
            <w:tcBorders>
              <w:top w:val="single" w:color="auto" w:sz="4" w:space="0"/>
              <w:left w:val="single" w:color="auto" w:sz="4" w:space="0"/>
              <w:bottom w:val="single" w:color="auto" w:sz="4" w:space="0"/>
              <w:right w:val="single" w:color="auto" w:sz="4" w:space="0"/>
            </w:tcBorders>
            <w:shd w:val="clear" w:color="auto" w:fill="auto"/>
            <w:vAlign w:val="bottom"/>
          </w:tcPr>
          <w:p w14:paraId="07047461">
            <w:pPr>
              <w:keepNext w:val="0"/>
              <w:keepLines w:val="0"/>
              <w:widowControl w:val="0"/>
              <w:suppressLineNumbers w:val="0"/>
              <w:wordWrap w:val="0"/>
              <w:spacing w:line="480" w:lineRule="exact"/>
              <w:jc w:val="both"/>
              <w:textAlignment w:val="auto"/>
              <w:rPr>
                <w:rFonts w:hint="eastAsia" w:ascii="宋体" w:hAnsi="宋体" w:eastAsia="宋体" w:cs="宋体"/>
                <w:color w:val="000000"/>
                <w:kern w:val="0"/>
                <w:sz w:val="21"/>
                <w:szCs w:val="21"/>
                <w:u w:val="none"/>
                <w:lang w:val="en-US" w:eastAsia="zh-CN" w:bidi="ar"/>
              </w:rPr>
            </w:pPr>
            <w:r>
              <w:rPr>
                <w:rFonts w:hint="eastAsia" w:ascii="宋体" w:hAnsi="宋体" w:eastAsia="宋体" w:cs="宋体"/>
                <w:color w:val="000000"/>
                <w:kern w:val="0"/>
                <w:sz w:val="21"/>
                <w:szCs w:val="21"/>
                <w:highlight w:val="none"/>
                <w:u w:val="none"/>
                <w:lang w:val="en-US" w:eastAsia="zh-CN" w:bidi="ar"/>
              </w:rPr>
              <w:t>注：</w:t>
            </w:r>
          </w:p>
          <w:p w14:paraId="6840F01A">
            <w:pPr>
              <w:keepNext w:val="0"/>
              <w:keepLines w:val="0"/>
              <w:widowControl w:val="0"/>
              <w:suppressLineNumbers w:val="0"/>
              <w:wordWrap w:val="0"/>
              <w:spacing w:line="480" w:lineRule="exact"/>
              <w:ind w:firstLine="420" w:firstLineChars="200"/>
              <w:jc w:val="both"/>
              <w:textAlignment w:val="auto"/>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u w:val="none"/>
                <w:lang w:val="en-US" w:eastAsia="zh-CN" w:bidi="ar"/>
              </w:rPr>
              <w:t>1.</w:t>
            </w:r>
            <w:r>
              <w:rPr>
                <w:rFonts w:hint="eastAsia" w:ascii="宋体" w:hAnsi="宋体" w:eastAsia="宋体" w:cs="宋体"/>
                <w:color w:val="000000"/>
                <w:kern w:val="0"/>
                <w:sz w:val="21"/>
                <w:szCs w:val="21"/>
                <w:highlight w:val="none"/>
                <w:u w:val="none"/>
                <w:lang w:val="en-US" w:eastAsia="zh-CN" w:bidi="ar"/>
              </w:rPr>
              <w:t>响应报价包括但不限于原材料、生产加工费用、运费、税费等产生的所有费用，请供应商报价时综合考虑。</w:t>
            </w:r>
          </w:p>
          <w:p w14:paraId="79F3F1AB">
            <w:pPr>
              <w:keepNext w:val="0"/>
              <w:keepLines w:val="0"/>
              <w:widowControl w:val="0"/>
              <w:suppressLineNumbers w:val="0"/>
              <w:wordWrap w:val="0"/>
              <w:spacing w:line="480" w:lineRule="exact"/>
              <w:ind w:firstLine="420" w:firstLineChars="200"/>
              <w:jc w:val="both"/>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000000"/>
                <w:kern w:val="0"/>
                <w:sz w:val="21"/>
                <w:szCs w:val="21"/>
                <w:highlight w:val="none"/>
                <w:u w:val="none"/>
                <w:lang w:val="en-US" w:eastAsia="zh-CN" w:bidi="ar"/>
              </w:rPr>
              <w:t>2.采购材料为为生产成型后的成品，采购数量为暂定数量，具体以实际供应合格工程量为准（因建设单位原因出现停工、停建、变更等情况造成承包范围增减，采购人不承担任何责任，采购人有权对供应范围做出调整）。</w:t>
            </w:r>
          </w:p>
        </w:tc>
      </w:tr>
    </w:tbl>
    <w:p w14:paraId="117DA776">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4"/>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247514288"/>
      <w:bookmarkStart w:id="285" w:name="_Toc152045796"/>
      <w:bookmarkStart w:id="286" w:name="_Toc144974864"/>
      <w:bookmarkStart w:id="287" w:name="_Toc247527836"/>
      <w:bookmarkStart w:id="288" w:name="_Toc300835221"/>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247085891"/>
      <w:bookmarkStart w:id="293" w:name="_Toc246997116"/>
      <w:bookmarkStart w:id="294" w:name="_Toc179632828"/>
      <w:bookmarkStart w:id="295" w:name="_Toc246996373"/>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46997113"/>
      <w:bookmarkStart w:id="297" w:name="_Toc296602615"/>
      <w:bookmarkStart w:id="298" w:name="_Toc246996370"/>
      <w:bookmarkStart w:id="299" w:name="_Toc247085888"/>
      <w:bookmarkStart w:id="300" w:name="_Toc300835226"/>
      <w:bookmarkStart w:id="301" w:name="_Toc144974878"/>
      <w:bookmarkStart w:id="302" w:name="_Toc247527850"/>
      <w:bookmarkStart w:id="303" w:name="_Toc152045810"/>
      <w:bookmarkStart w:id="304" w:name="_Toc152042599"/>
      <w:bookmarkStart w:id="305" w:name="_Toc247514302"/>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96602616"/>
      <w:bookmarkStart w:id="307" w:name="_Toc246997114"/>
      <w:bookmarkStart w:id="308" w:name="_Toc246996371"/>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247514303"/>
      <w:bookmarkStart w:id="312" w:name="_Toc152042600"/>
      <w:bookmarkStart w:id="313" w:name="_Toc247527851"/>
      <w:bookmarkStart w:id="314" w:name="_Toc144974879"/>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2</w:t>
      </w:r>
      <w:r>
        <w:rPr>
          <w:rFonts w:hint="default" w:ascii="Times New Roman" w:hAnsi="Times New Roman" w:eastAsiaTheme="minorEastAsia" w:cstheme="minorBidi"/>
          <w:b/>
          <w:bCs/>
          <w:color w:val="FF0000"/>
          <w:kern w:val="2"/>
          <w:sz w:val="21"/>
          <w:szCs w:val="24"/>
          <w:lang w:val="en-US" w:eastAsia="zh-CN" w:bidi="ar-SA"/>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5"/>
        <w:numPr>
          <w:ilvl w:val="0"/>
          <w:numId w:val="0"/>
        </w:numPr>
        <w:jc w:val="center"/>
        <w:rPr>
          <w:rFonts w:hint="default" w:ascii="Times New Roman" w:hAnsi="Times New Roman" w:cs="Times New Roman"/>
          <w:lang w:val="en-US" w:eastAsia="zh-CN"/>
        </w:rPr>
      </w:pPr>
      <w:bookmarkStart w:id="315" w:name="_Toc271821942"/>
      <w:bookmarkStart w:id="316" w:name="_Toc300835233"/>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7E5237C-722D-48CC-8FAD-B3AB2BF733D7}"/>
  </w:font>
  <w:font w:name="Arial">
    <w:panose1 w:val="020B0604020202020204"/>
    <w:charset w:val="01"/>
    <w:family w:val="swiss"/>
    <w:pitch w:val="default"/>
    <w:sig w:usb0="E0002EFF" w:usb1="C000785B" w:usb2="00000009" w:usb3="00000000" w:csb0="400001FF" w:csb1="FFFF0000"/>
    <w:embedRegular r:id="rId2" w:fontKey="{D0BE69BA-5842-4365-96D0-CB8D0733BA08}"/>
  </w:font>
  <w:font w:name="黑体">
    <w:panose1 w:val="02010609060101010101"/>
    <w:charset w:val="86"/>
    <w:family w:val="auto"/>
    <w:pitch w:val="default"/>
    <w:sig w:usb0="800002BF" w:usb1="38CF7CFA" w:usb2="00000016" w:usb3="00000000" w:csb0="00040001" w:csb1="00000000"/>
    <w:embedRegular r:id="rId3" w:fontKey="{787967D1-EC4E-419A-8A51-17BD4BBB23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D2D58C95-9885-466E-8C2F-DAB66F4E61F7}"/>
  </w:font>
  <w:font w:name="仿宋_GB2312">
    <w:panose1 w:val="02010609030101010101"/>
    <w:charset w:val="86"/>
    <w:family w:val="modern"/>
    <w:pitch w:val="default"/>
    <w:sig w:usb0="00000001" w:usb1="080E0000" w:usb2="00000000" w:usb3="00000000" w:csb0="00040000" w:csb1="00000000"/>
    <w:embedRegular r:id="rId5" w:fontKey="{DA1DEA85-F0BC-4FE8-93A3-2A568AC53B8A}"/>
  </w:font>
  <w:font w:name="方正小标宋简体">
    <w:panose1 w:val="03000509000000000000"/>
    <w:charset w:val="86"/>
    <w:family w:val="auto"/>
    <w:pitch w:val="default"/>
    <w:sig w:usb0="00000001" w:usb1="080E0000" w:usb2="00000000" w:usb3="00000000" w:csb0="00040000" w:csb1="00000000"/>
    <w:embedRegular r:id="rId6" w:fontKey="{5389CA41-FF4C-429C-B35C-39E1C5BCD9C3}"/>
  </w:font>
  <w:font w:name="楷体">
    <w:panose1 w:val="02010609060101010101"/>
    <w:charset w:val="86"/>
    <w:family w:val="auto"/>
    <w:pitch w:val="default"/>
    <w:sig w:usb0="800002BF" w:usb1="38CF7CFA" w:usb2="00000016" w:usb3="00000000" w:csb0="00040001" w:csb1="00000000"/>
    <w:embedRegular r:id="rId7" w:fontKey="{61BCCFAD-67EB-494F-95BB-2F19B60931D9}"/>
  </w:font>
  <w:font w:name="Wingdings 2">
    <w:panose1 w:val="05020102010507070707"/>
    <w:charset w:val="00"/>
    <w:family w:val="auto"/>
    <w:pitch w:val="default"/>
    <w:sig w:usb0="00000000" w:usb1="00000000" w:usb2="00000000" w:usb3="00000000" w:csb0="80000000" w:csb1="00000000"/>
    <w:embedRegular r:id="rId8" w:fontKey="{78EE8061-D3F6-4BB8-93F9-1CB57D024906}"/>
  </w:font>
  <w:font w:name="方正仿宋_GB2312">
    <w:panose1 w:val="02000000000000000000"/>
    <w:charset w:val="86"/>
    <w:family w:val="auto"/>
    <w:pitch w:val="default"/>
    <w:sig w:usb0="A00002BF" w:usb1="184F6CFA" w:usb2="00000012" w:usb3="00000000" w:csb0="00040001" w:csb1="00000000"/>
    <w:embedRegular r:id="rId9" w:fontKey="{D29633A2-B576-4AA1-AED1-FFA6A2032E56}"/>
  </w:font>
  <w:font w:name="仿宋">
    <w:panose1 w:val="02010609060101010101"/>
    <w:charset w:val="86"/>
    <w:family w:val="modern"/>
    <w:pitch w:val="default"/>
    <w:sig w:usb0="800002BF" w:usb1="38CF7CFA" w:usb2="00000016" w:usb3="00000000" w:csb0="00040001" w:csb1="00000000"/>
    <w:embedRegular r:id="rId10" w:fontKey="{CFCB8E38-C7A8-411F-AAC0-A8BEDDEA08F3}"/>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71E09"/>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A067E"/>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074B42"/>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4E20EA"/>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718E2"/>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687B02"/>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character" w:customStyle="1" w:styleId="31">
    <w:name w:val="font71"/>
    <w:basedOn w:val="1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4424</Words>
  <Characters>5087</Characters>
  <Lines>0</Lines>
  <Paragraphs>0</Paragraphs>
  <TotalTime>2</TotalTime>
  <ScaleCrop>false</ScaleCrop>
  <LinksUpToDate>false</LinksUpToDate>
  <CharactersWithSpaces>5209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2026-02-02T07:47:00Z</cp:lastPrinted>
  <dcterms:modified xsi:type="dcterms:W3CDTF">2026-03-06T06:49:20Z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D11A697664DD4AEDAB7F406CE9EC0FBC_13</vt:lpwstr>
  </property>
  <property fmtid="{D5CDD505-2E9C-101B-9397-08002B2CF9AE}" pid="4" name="KSOTemplateDocerSaveRecord">
    <vt:lpwstr>eyJoZGlkIjoiNGQwNDEwOTliYTQ0MjFkY2Q2Yjg0MDk3OTcwOGQ5NTMiLCJ1c2VySWQiOiI1NTMyMjQzNDEifQ==</vt:lpwstr>
  </property>
</Properties>
</file>