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亳药集团电子辐照灭菌项目1400kW光储充一体化项目储能设备采购（二次）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ATRD-2026-05号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亳药集团电子辐照灭菌项目1400kW光储充一体化项目储能设备采购（二次）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亳药集团电子辐照灭菌项目1400kW光储充一体化项目储能设备采购（二次）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ATRD-2026-05号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352104.96元</w:t>
      </w:r>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w:t>
      </w:r>
      <w:r>
        <w:rPr>
          <w:rFonts w:hint="eastAsia" w:asciiTheme="minorEastAsia" w:hAnsiTheme="minorEastAsia" w:eastAsiaTheme="minorEastAsia" w:cstheme="minorEastAsia"/>
          <w:kern w:val="2"/>
          <w:sz w:val="28"/>
          <w:szCs w:val="28"/>
          <w:highlight w:val="none"/>
          <w:lang w:val="en-US" w:eastAsia="zh-CN"/>
        </w:rPr>
        <w:t>采购</w:t>
      </w:r>
      <w:r>
        <w:rPr>
          <w:rFonts w:hint="eastAsia" w:asciiTheme="minorEastAsia" w:hAnsiTheme="minorEastAsia" w:eastAsiaTheme="minorEastAsia" w:cstheme="minorEastAsia"/>
          <w:kern w:val="2"/>
          <w:sz w:val="28"/>
          <w:szCs w:val="28"/>
          <w:highlight w:val="none"/>
          <w:lang w:eastAsia="zh-CN"/>
        </w:rPr>
        <w:t>清单，按</w:t>
      </w:r>
      <w:r>
        <w:rPr>
          <w:rFonts w:hint="eastAsia" w:asciiTheme="minorEastAsia" w:hAnsiTheme="minorEastAsia" w:eastAsiaTheme="minorEastAsia" w:cstheme="minorEastAsia"/>
          <w:color w:val="FF0000"/>
          <w:kern w:val="2"/>
          <w:sz w:val="28"/>
          <w:szCs w:val="28"/>
          <w:highlight w:val="none"/>
          <w:lang w:eastAsia="zh-CN"/>
        </w:rPr>
        <w:t>固定单价</w:t>
      </w:r>
      <w:r>
        <w:rPr>
          <w:rFonts w:hint="eastAsia" w:asciiTheme="minorEastAsia" w:hAnsiTheme="minorEastAsia" w:eastAsiaTheme="minorEastAsia" w:cstheme="minorEastAsia"/>
          <w:kern w:val="2"/>
          <w:sz w:val="28"/>
          <w:szCs w:val="28"/>
          <w:highlight w:val="none"/>
          <w:lang w:eastAsia="zh-CN"/>
        </w:rPr>
        <w:t>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EE0AA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亳药集团电子辐照灭菌项目1400kW光储充一体化项目储能设备采购，采购数量为2台、具体规格、技术参数、储能设备并网所需一些辅材等要求详见附件采购清单及图纸。</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ermEnd w:id="9"/>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安徽省亳州市谯城区省道309线亳州收费站院内</w:t>
      </w:r>
      <w:r>
        <w:rPr>
          <w:rFonts w:hint="eastAsia" w:asciiTheme="minorEastAsia" w:hAnsiTheme="minorEastAsia" w:eastAsiaTheme="minorEastAsia" w:cstheme="minorEastAsia"/>
          <w:kern w:val="2"/>
          <w:sz w:val="28"/>
          <w:szCs w:val="28"/>
          <w:highlight w:val="none"/>
          <w:lang w:val="en-US" w:eastAsia="zh-CN"/>
        </w:rPr>
        <w:t>。</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等方面具有承担本项目供货的能力。</w:t>
      </w:r>
    </w:p>
    <w:p w14:paraId="0C204F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2"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3</w:t>
      </w:r>
      <w:permEnd w:id="12"/>
      <w:r>
        <w:rPr>
          <w:rFonts w:hint="eastAsia" w:asciiTheme="minorEastAsia" w:hAnsiTheme="minorEastAsia" w:eastAsiaTheme="minorEastAsia" w:cstheme="minorEastAsia"/>
          <w:kern w:val="2"/>
          <w:sz w:val="28"/>
          <w:szCs w:val="28"/>
          <w:highlight w:val="none"/>
          <w:lang w:val="en-US" w:eastAsia="zh-CN"/>
        </w:rPr>
        <w:t>年</w:t>
      </w:r>
      <w:r>
        <w:rPr>
          <w:rFonts w:hint="eastAsia" w:asciiTheme="minorEastAsia" w:hAnsiTheme="minorEastAsia" w:cstheme="minorEastAsia"/>
          <w:kern w:val="2"/>
          <w:sz w:val="28"/>
          <w:szCs w:val="28"/>
          <w:highlight w:val="none"/>
          <w:lang w:val="en-US" w:eastAsia="zh-CN"/>
        </w:rPr>
        <w:t>1月以来</w:t>
      </w:r>
      <w:r>
        <w:rPr>
          <w:rFonts w:hint="eastAsia" w:asciiTheme="minorEastAsia" w:hAnsiTheme="minorEastAsia" w:eastAsiaTheme="minorEastAsia" w:cstheme="minorEastAsia"/>
          <w:kern w:val="2"/>
          <w:sz w:val="28"/>
          <w:szCs w:val="28"/>
          <w:highlight w:val="none"/>
          <w:lang w:val="en-US" w:eastAsia="zh-CN"/>
        </w:rPr>
        <w:t>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单项合同金额不低于</w:t>
      </w:r>
      <w:r>
        <w:rPr>
          <w:rFonts w:hint="eastAsia" w:asciiTheme="minorEastAsia" w:hAnsiTheme="minorEastAsia" w:cstheme="minorEastAsia"/>
          <w:kern w:val="2"/>
          <w:sz w:val="28"/>
          <w:szCs w:val="28"/>
          <w:highlight w:val="none"/>
          <w:u w:val="single"/>
          <w:lang w:val="en-US" w:eastAsia="zh-CN"/>
        </w:rPr>
        <w:t>18</w:t>
      </w:r>
      <w:r>
        <w:rPr>
          <w:rFonts w:hint="eastAsia" w:asciiTheme="minorEastAsia" w:hAnsiTheme="minorEastAsia" w:eastAsiaTheme="minorEastAsia" w:cstheme="minorEastAsia"/>
          <w:kern w:val="2"/>
          <w:sz w:val="28"/>
          <w:szCs w:val="28"/>
          <w:highlight w:val="none"/>
          <w:u w:val="single"/>
          <w:lang w:val="en-US" w:eastAsia="zh-CN"/>
        </w:rPr>
        <w:t>万元的储能设备材料销售业绩。</w:t>
      </w:r>
    </w:p>
    <w:permEnd w:id="15"/>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6"/>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8"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25</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8"/>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r>
              <w:rPr>
                <w:rFonts w:hint="eastAsia" w:asciiTheme="minorEastAsia" w:hAnsiTheme="minorEastAsia" w:cstheme="minorEastAsia"/>
                <w:color w:val="FF0000"/>
                <w:sz w:val="28"/>
                <w:szCs w:val="28"/>
                <w:highlight w:val="none"/>
                <w:u w:val="single"/>
                <w:lang w:val="en-US" w:eastAsia="zh-CN"/>
              </w:rPr>
              <w:t>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7000.00元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亳州市安腾弱电工程有限公司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孙经理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17705671717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亳州市安腾弱电工程有限公司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
    <w:permEnd w:id="24"/>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 xml:space="preserve">7000.00元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CBE7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14:paraId="436BF8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14:paraId="094B23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ATRD-2026-05号保证金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亳药集团电子辐照灭菌项目1400kW光储充一体化项目储能设备采购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项目编号：ATRD-2026-05号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431EC20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开户名称：</w:t>
            </w:r>
            <w:r>
              <w:rPr>
                <w:rFonts w:hint="eastAsia" w:ascii="Times New Roman" w:hAnsi="Times New Roman" w:cs="Times New Roman"/>
                <w:b/>
                <w:bCs/>
                <w:color w:val="FF0000"/>
                <w:szCs w:val="21"/>
                <w:highlight w:val="none"/>
                <w:lang w:val="en-US" w:eastAsia="zh-CN"/>
              </w:rPr>
              <w:t>亳州市安腾弱电工程有限公司</w:t>
            </w:r>
          </w:p>
          <w:p w14:paraId="1627BBB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开户银行：</w:t>
            </w:r>
            <w:r>
              <w:rPr>
                <w:rFonts w:hint="eastAsia" w:ascii="Times New Roman" w:hAnsi="Times New Roman" w:cs="Times New Roman"/>
                <w:b/>
                <w:bCs/>
                <w:color w:val="FF0000"/>
                <w:szCs w:val="21"/>
                <w:highlight w:val="none"/>
                <w:lang w:val="en-US" w:eastAsia="zh-CN"/>
              </w:rPr>
              <w:t>亳州药都农村商业银行股份有限公司高新区支行</w:t>
            </w:r>
          </w:p>
          <w:p w14:paraId="160B961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color w:val="FF0000"/>
                <w:szCs w:val="21"/>
                <w:highlight w:val="none"/>
                <w:lang w:val="en-US" w:eastAsia="zh-CN"/>
              </w:rPr>
              <w:t>银行账号：</w:t>
            </w:r>
            <w:r>
              <w:rPr>
                <w:rFonts w:hint="eastAsia" w:ascii="Times New Roman" w:hAnsi="Times New Roman" w:cs="Times New Roman"/>
                <w:b/>
                <w:bCs/>
                <w:color w:val="FF0000"/>
                <w:szCs w:val="21"/>
                <w:highlight w:val="none"/>
                <w:lang w:val="en-US" w:eastAsia="zh-CN"/>
              </w:rPr>
              <w:t>20000544905210300000122</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FF0000"/>
                <w:szCs w:val="21"/>
                <w:highlight w:val="none"/>
                <w:lang w:val="en-US" w:eastAsia="zh-CN"/>
              </w:rPr>
              <w:t>成交价款的10%</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7085692"/>
      <w:bookmarkStart w:id="2" w:name="_Toc152045532"/>
      <w:bookmarkStart w:id="3" w:name="_Toc246996921"/>
      <w:bookmarkStart w:id="4" w:name="_Toc179632549"/>
      <w:bookmarkStart w:id="5" w:name="_Toc246996178"/>
      <w:bookmarkStart w:id="6" w:name="_Toc296602423"/>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7085695"/>
      <w:bookmarkStart w:id="10" w:name="_Toc152045536"/>
      <w:bookmarkStart w:id="11" w:name="_Toc246996181"/>
      <w:bookmarkStart w:id="12" w:name="_Toc296602426"/>
      <w:bookmarkStart w:id="13" w:name="_Toc179632553"/>
      <w:bookmarkStart w:id="14" w:name="_Toc246996924"/>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46996925"/>
      <w:bookmarkStart w:id="19" w:name="_Toc247085696"/>
      <w:bookmarkStart w:id="20" w:name="_Toc246996182"/>
      <w:bookmarkStart w:id="21" w:name="_Toc152042313"/>
      <w:bookmarkStart w:id="22" w:name="_Toc179632554"/>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183"/>
      <w:bookmarkStart w:id="26" w:name="_Toc144974506"/>
      <w:bookmarkStart w:id="27" w:name="_Toc179632555"/>
      <w:bookmarkStart w:id="28" w:name="_Toc246996926"/>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79632560"/>
      <w:bookmarkStart w:id="33" w:name="_Toc247085701"/>
      <w:bookmarkStart w:id="34" w:name="_Toc246996930"/>
      <w:bookmarkStart w:id="35" w:name="_Toc144974510"/>
      <w:bookmarkStart w:id="36" w:name="_Toc152045542"/>
      <w:bookmarkStart w:id="37" w:name="_Toc246996187"/>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144974511"/>
      <w:bookmarkStart w:id="41" w:name="_Toc152045543"/>
      <w:bookmarkStart w:id="42" w:name="_Toc246996188"/>
      <w:bookmarkStart w:id="43" w:name="_Toc179632561"/>
      <w:bookmarkStart w:id="44" w:name="_Toc247085702"/>
      <w:bookmarkStart w:id="45" w:name="_Toc24699693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246996932"/>
      <w:bookmarkStart w:id="49" w:name="_Toc152042320"/>
      <w:bookmarkStart w:id="50" w:name="_Toc247085703"/>
      <w:bookmarkStart w:id="51" w:name="_Toc296602434"/>
      <w:bookmarkStart w:id="52" w:name="_Toc179632562"/>
      <w:bookmarkStart w:id="53" w:name="_Toc144974512"/>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79632563"/>
      <w:bookmarkStart w:id="57" w:name="_Toc246996933"/>
      <w:bookmarkStart w:id="58" w:name="_Toc246996190"/>
      <w:bookmarkStart w:id="59" w:name="_Toc152045545"/>
      <w:bookmarkStart w:id="60" w:name="_Toc152042321"/>
      <w:bookmarkStart w:id="61" w:name="_Toc247085704"/>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152045546"/>
      <w:bookmarkStart w:id="65" w:name="_Toc152042322"/>
      <w:bookmarkStart w:id="66" w:name="_Toc144974514"/>
      <w:bookmarkStart w:id="67" w:name="_Toc179632564"/>
      <w:bookmarkStart w:id="68" w:name="_Toc296602436"/>
      <w:bookmarkStart w:id="69" w:name="_Toc246996191"/>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192"/>
      <w:bookmarkStart w:id="73" w:name="_Toc246996935"/>
      <w:bookmarkStart w:id="74" w:name="_Toc144974515"/>
      <w:bookmarkStart w:id="75" w:name="_Toc179632565"/>
      <w:bookmarkStart w:id="76" w:name="_Toc296602437"/>
      <w:bookmarkStart w:id="77" w:name="_Toc247085706"/>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246996193"/>
      <w:bookmarkStart w:id="81" w:name="_Toc144974516"/>
      <w:bookmarkStart w:id="82" w:name="_Toc247085707"/>
      <w:bookmarkStart w:id="83" w:name="_Toc152045548"/>
      <w:bookmarkStart w:id="84" w:name="_Toc179632566"/>
      <w:bookmarkStart w:id="85" w:name="_Toc152042324"/>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152042331"/>
      <w:bookmarkStart w:id="97" w:name="_Toc296602443"/>
      <w:bookmarkStart w:id="98" w:name="_Toc246996942"/>
      <w:bookmarkStart w:id="99" w:name="_Toc247085713"/>
      <w:bookmarkStart w:id="100" w:name="_Toc144974523"/>
      <w:bookmarkStart w:id="101" w:name="_Toc246996199"/>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47085714"/>
      <w:bookmarkStart w:id="105" w:name="_Toc296602444"/>
      <w:bookmarkStart w:id="106" w:name="_Toc152045556"/>
      <w:bookmarkStart w:id="107" w:name="_Toc152042332"/>
      <w:bookmarkStart w:id="108" w:name="_Toc246996943"/>
      <w:bookmarkStart w:id="109" w:name="_Toc246996200"/>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246996944"/>
      <w:bookmarkStart w:id="113" w:name="_Toc152042333"/>
      <w:bookmarkStart w:id="114" w:name="_Toc144974525"/>
      <w:bookmarkStart w:id="115" w:name="_Toc179632575"/>
      <w:bookmarkStart w:id="116" w:name="_Toc152045557"/>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152042334"/>
      <w:bookmarkStart w:id="120" w:name="_Toc246996202"/>
      <w:bookmarkStart w:id="121" w:name="_Toc246996945"/>
      <w:bookmarkStart w:id="122" w:name="_Toc296602446"/>
      <w:bookmarkStart w:id="123" w:name="_Toc247085716"/>
      <w:bookmarkStart w:id="124" w:name="_Toc152045558"/>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96602447"/>
      <w:bookmarkStart w:id="128" w:name="_Toc246996203"/>
      <w:bookmarkStart w:id="129" w:name="_Toc247085717"/>
      <w:bookmarkStart w:id="130" w:name="_Toc246996946"/>
      <w:bookmarkStart w:id="131" w:name="_Toc179632577"/>
      <w:bookmarkStart w:id="132" w:name="_Toc14497452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52045560"/>
      <w:bookmarkStart w:id="136" w:name="_Toc246996947"/>
      <w:bookmarkStart w:id="137" w:name="_Toc179632578"/>
      <w:bookmarkStart w:id="138" w:name="_Toc246996204"/>
      <w:bookmarkStart w:id="139" w:name="_Toc144974528"/>
      <w:bookmarkStart w:id="140" w:name="_Toc152042336"/>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6996205"/>
      <w:bookmarkStart w:id="144" w:name="_Toc152045561"/>
      <w:bookmarkStart w:id="145" w:name="_Toc247085719"/>
      <w:bookmarkStart w:id="146" w:name="_Toc179632579"/>
      <w:bookmarkStart w:id="147" w:name="_Toc152042337"/>
      <w:bookmarkStart w:id="148" w:name="_Toc246996948"/>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179632581"/>
      <w:bookmarkStart w:id="152" w:name="_Toc296602452"/>
      <w:bookmarkStart w:id="153" w:name="_Toc152045563"/>
      <w:bookmarkStart w:id="154" w:name="_Toc246996207"/>
      <w:bookmarkStart w:id="155" w:name="_Toc246996950"/>
      <w:bookmarkStart w:id="156" w:name="_Toc247085721"/>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246996210"/>
      <w:bookmarkStart w:id="160" w:name="_Toc179632584"/>
      <w:bookmarkStart w:id="161" w:name="_Toc247085724"/>
      <w:bookmarkStart w:id="162" w:name="_Toc296602455"/>
      <w:bookmarkStart w:id="163" w:name="_Toc246996953"/>
      <w:bookmarkStart w:id="164" w:name="_Toc144974534"/>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179632585"/>
      <w:bookmarkStart w:id="168" w:name="_Toc247085725"/>
      <w:bookmarkStart w:id="169" w:name="_Toc152045567"/>
      <w:bookmarkStart w:id="170" w:name="_Toc246996954"/>
      <w:bookmarkStart w:id="171" w:name="_Toc246996211"/>
      <w:bookmarkStart w:id="172" w:name="_Toc296602456"/>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52045568"/>
      <w:bookmarkStart w:id="177" w:name="_Toc152042344"/>
      <w:bookmarkStart w:id="178" w:name="_Toc296602458"/>
      <w:bookmarkStart w:id="179" w:name="_Toc144974536"/>
      <w:bookmarkStart w:id="180" w:name="_Toc179632586"/>
      <w:bookmarkStart w:id="181" w:name="_Toc246996212"/>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247085727"/>
      <w:bookmarkStart w:id="185" w:name="_Toc179632587"/>
      <w:bookmarkStart w:id="186" w:name="_Toc246996956"/>
      <w:bookmarkStart w:id="187" w:name="_Toc152045569"/>
      <w:bookmarkStart w:id="188" w:name="_Toc296602459"/>
      <w:bookmarkStart w:id="189" w:name="_Toc246996213"/>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246996962"/>
      <w:bookmarkStart w:id="194" w:name="_Toc296602462"/>
      <w:bookmarkStart w:id="195" w:name="_Toc247085733"/>
      <w:bookmarkStart w:id="196" w:name="_Toc152042351"/>
      <w:bookmarkStart w:id="197" w:name="_Toc179632593"/>
      <w:bookmarkStart w:id="198" w:name="_Toc296590983"/>
      <w:bookmarkStart w:id="199" w:name="_Toc144974543"/>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6996963"/>
      <w:bookmarkStart w:id="202" w:name="_Toc247085734"/>
      <w:bookmarkStart w:id="203" w:name="_Toc144974544"/>
      <w:bookmarkStart w:id="204" w:name="_Toc246996220"/>
      <w:bookmarkStart w:id="205" w:name="_Toc179632594"/>
      <w:bookmarkStart w:id="206" w:name="_Toc296602463"/>
      <w:bookmarkStart w:id="207" w:name="_Toc152045576"/>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7085735"/>
      <w:bookmarkStart w:id="211" w:name="_Toc179632595"/>
      <w:bookmarkStart w:id="212" w:name="_Toc152045577"/>
      <w:bookmarkStart w:id="213" w:name="_Toc144974545"/>
      <w:bookmarkStart w:id="214" w:name="_Toc152042353"/>
      <w:bookmarkStart w:id="215" w:name="_Toc246996964"/>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52045589"/>
            <w:bookmarkStart w:id="219" w:name="_Toc152042366"/>
            <w:bookmarkStart w:id="220" w:name="_Toc246996232"/>
            <w:bookmarkStart w:id="221" w:name="_Toc296602477"/>
            <w:bookmarkStart w:id="222" w:name="_Toc247085747"/>
            <w:bookmarkStart w:id="223" w:name="_Toc144974556"/>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46996979"/>
      <w:bookmarkStart w:id="227" w:name="_Toc246996236"/>
      <w:bookmarkStart w:id="228" w:name="_Toc152045593"/>
      <w:bookmarkStart w:id="229" w:name="_Toc144974560"/>
      <w:bookmarkStart w:id="230" w:name="_Toc247085751"/>
      <w:bookmarkStart w:id="231" w:name="_Toc179632611"/>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52045596"/>
      <w:bookmarkStart w:id="236" w:name="_Toc246996239"/>
      <w:bookmarkStart w:id="237" w:name="_Toc179632614"/>
      <w:bookmarkStart w:id="238" w:name="_Toc152042373"/>
      <w:bookmarkStart w:id="239" w:name="_Toc24708575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273C2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7A01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4110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75F56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5BCE1A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自项目竣工验收合格之日起5年</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6C495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56C323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tbl>
      <w:tblPr>
        <w:tblStyle w:val="16"/>
        <w:tblW w:w="5224" w:type="pct"/>
        <w:tblInd w:w="-3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4"/>
        <w:gridCol w:w="664"/>
        <w:gridCol w:w="1624"/>
        <w:gridCol w:w="1136"/>
        <w:gridCol w:w="693"/>
        <w:gridCol w:w="1101"/>
        <w:gridCol w:w="1095"/>
        <w:gridCol w:w="759"/>
        <w:gridCol w:w="1168"/>
      </w:tblGrid>
      <w:tr w14:paraId="6DBAE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18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B6AB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3A5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6FEE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采购数量</w:t>
            </w:r>
          </w:p>
          <w:p w14:paraId="040070E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（台）</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6D35">
            <w:pPr>
              <w:pStyle w:val="2"/>
              <w:jc w:val="center"/>
              <w:rPr>
                <w:rFonts w:hint="default"/>
                <w:lang w:val="en-US"/>
              </w:rPr>
            </w:pPr>
            <w:r>
              <w:rPr>
                <w:rFonts w:hint="eastAsia" w:ascii="宋体" w:hAnsi="宋体" w:eastAsia="宋体" w:cs="宋体"/>
                <w:b/>
                <w:bCs/>
                <w:i w:val="0"/>
                <w:iCs w:val="0"/>
                <w:color w:val="000000"/>
                <w:kern w:val="0"/>
                <w:sz w:val="20"/>
                <w:szCs w:val="20"/>
                <w:u w:val="none"/>
                <w:lang w:val="en-US" w:eastAsia="zh-CN" w:bidi="ar"/>
              </w:rPr>
              <w:t>税率</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9499B">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含税单价</w:t>
            </w:r>
          </w:p>
          <w:p w14:paraId="141DBB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（元/台）</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24CB9">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含税合价</w:t>
            </w:r>
          </w:p>
          <w:p w14:paraId="4ED192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600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r>
      <w:tr w14:paraId="660BF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trPr>
        <w:tc>
          <w:tcPr>
            <w:tcW w:w="373" w:type="pct"/>
            <w:vMerge w:val="restart"/>
            <w:tcBorders>
              <w:top w:val="single" w:color="000000" w:sz="4" w:space="0"/>
              <w:left w:val="single" w:color="000000" w:sz="4" w:space="0"/>
              <w:right w:val="single" w:color="000000" w:sz="4" w:space="0"/>
            </w:tcBorders>
            <w:shd w:val="clear" w:color="auto" w:fill="auto"/>
            <w:vAlign w:val="center"/>
          </w:tcPr>
          <w:p w14:paraId="71774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3" w:type="pct"/>
            <w:vMerge w:val="restart"/>
            <w:tcBorders>
              <w:top w:val="single" w:color="000000" w:sz="4" w:space="0"/>
              <w:left w:val="single" w:color="000000" w:sz="4" w:space="0"/>
              <w:right w:val="single" w:color="000000" w:sz="4" w:space="0"/>
            </w:tcBorders>
            <w:shd w:val="clear" w:color="auto" w:fill="auto"/>
            <w:vAlign w:val="center"/>
          </w:tcPr>
          <w:p w14:paraId="704CB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912" w:type="pct"/>
            <w:vMerge w:val="restart"/>
            <w:tcBorders>
              <w:top w:val="single" w:color="000000" w:sz="4" w:space="0"/>
              <w:left w:val="single" w:color="000000" w:sz="4" w:space="0"/>
              <w:right w:val="single" w:color="000000" w:sz="4" w:space="0"/>
            </w:tcBorders>
            <w:shd w:val="clear" w:color="auto" w:fill="auto"/>
            <w:vAlign w:val="center"/>
          </w:tcPr>
          <w:p w14:paraId="0C481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p>
        </w:tc>
        <w:tc>
          <w:tcPr>
            <w:tcW w:w="638" w:type="pct"/>
            <w:vMerge w:val="restart"/>
            <w:tcBorders>
              <w:top w:val="single" w:color="000000" w:sz="4" w:space="0"/>
              <w:left w:val="single" w:color="000000" w:sz="4" w:space="0"/>
              <w:right w:val="single" w:color="000000" w:sz="4" w:space="0"/>
            </w:tcBorders>
            <w:shd w:val="clear" w:color="auto" w:fill="auto"/>
            <w:vAlign w:val="center"/>
          </w:tcPr>
          <w:p w14:paraId="594B2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9" w:type="pct"/>
            <w:vMerge w:val="restart"/>
            <w:tcBorders>
              <w:top w:val="single" w:color="000000" w:sz="4" w:space="0"/>
              <w:left w:val="single" w:color="000000" w:sz="4" w:space="0"/>
              <w:right w:val="single" w:color="000000" w:sz="4" w:space="0"/>
            </w:tcBorders>
            <w:shd w:val="clear" w:color="auto" w:fill="auto"/>
            <w:vAlign w:val="center"/>
          </w:tcPr>
          <w:p w14:paraId="64014331">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18" w:type="pct"/>
            <w:vMerge w:val="restart"/>
            <w:tcBorders>
              <w:top w:val="single" w:color="000000" w:sz="4" w:space="0"/>
              <w:left w:val="single" w:color="000000" w:sz="4" w:space="0"/>
              <w:right w:val="single" w:color="000000" w:sz="4" w:space="0"/>
            </w:tcBorders>
            <w:shd w:val="clear" w:color="auto" w:fill="auto"/>
            <w:vAlign w:val="center"/>
          </w:tcPr>
          <w:p w14:paraId="56475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15" w:type="pct"/>
            <w:vMerge w:val="restart"/>
            <w:tcBorders>
              <w:top w:val="single" w:color="000000" w:sz="4" w:space="0"/>
              <w:left w:val="single" w:color="000000" w:sz="4" w:space="0"/>
              <w:right w:val="single" w:color="000000" w:sz="4" w:space="0"/>
            </w:tcBorders>
            <w:shd w:val="clear" w:color="auto" w:fill="auto"/>
            <w:vAlign w:val="center"/>
          </w:tcPr>
          <w:p w14:paraId="462FE689">
            <w:pPr>
              <w:jc w:val="center"/>
              <w:rPr>
                <w:rFonts w:hint="eastAsia" w:ascii="宋体" w:hAnsi="宋体" w:eastAsia="宋体" w:cs="宋体"/>
                <w:i w:val="0"/>
                <w:iCs w:val="0"/>
                <w:color w:val="000000"/>
                <w:sz w:val="20"/>
                <w:szCs w:val="20"/>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8D1A3">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储能电芯</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09C8">
            <w:pPr>
              <w:jc w:val="center"/>
              <w:rPr>
                <w:rFonts w:hint="eastAsia" w:ascii="宋体" w:hAnsi="宋体" w:eastAsia="宋体" w:cs="宋体"/>
                <w:i w:val="0"/>
                <w:iCs w:val="0"/>
                <w:color w:val="000000"/>
                <w:sz w:val="20"/>
                <w:szCs w:val="20"/>
                <w:u w:val="none"/>
              </w:rPr>
            </w:pPr>
          </w:p>
        </w:tc>
      </w:tr>
      <w:tr w14:paraId="34B73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7" w:hRule="atLeast"/>
        </w:trPr>
        <w:tc>
          <w:tcPr>
            <w:tcW w:w="373" w:type="pct"/>
            <w:vMerge w:val="continue"/>
            <w:tcBorders>
              <w:left w:val="single" w:color="000000" w:sz="4" w:space="0"/>
              <w:bottom w:val="single" w:color="000000" w:sz="4" w:space="0"/>
              <w:right w:val="single" w:color="000000" w:sz="4" w:space="0"/>
            </w:tcBorders>
            <w:shd w:val="clear" w:color="auto" w:fill="auto"/>
            <w:vAlign w:val="center"/>
          </w:tcPr>
          <w:p w14:paraId="06829395">
            <w:pPr>
              <w:jc w:val="center"/>
            </w:pPr>
          </w:p>
        </w:tc>
        <w:tc>
          <w:tcPr>
            <w:tcW w:w="373" w:type="pct"/>
            <w:vMerge w:val="continue"/>
            <w:tcBorders>
              <w:left w:val="single" w:color="000000" w:sz="4" w:space="0"/>
              <w:bottom w:val="single" w:color="000000" w:sz="4" w:space="0"/>
              <w:right w:val="single" w:color="000000" w:sz="4" w:space="0"/>
            </w:tcBorders>
            <w:shd w:val="clear" w:color="auto" w:fill="auto"/>
            <w:vAlign w:val="center"/>
          </w:tcPr>
          <w:p w14:paraId="2D173347">
            <w:pPr>
              <w:jc w:val="center"/>
            </w:pPr>
          </w:p>
        </w:tc>
        <w:tc>
          <w:tcPr>
            <w:tcW w:w="912" w:type="pct"/>
            <w:vMerge w:val="continue"/>
            <w:tcBorders>
              <w:left w:val="single" w:color="000000" w:sz="4" w:space="0"/>
              <w:bottom w:val="single" w:color="000000" w:sz="4" w:space="0"/>
              <w:right w:val="single" w:color="000000" w:sz="4" w:space="0"/>
            </w:tcBorders>
            <w:shd w:val="clear" w:color="auto" w:fill="auto"/>
            <w:vAlign w:val="center"/>
          </w:tcPr>
          <w:p w14:paraId="57C6635F">
            <w:pPr>
              <w:jc w:val="center"/>
            </w:pPr>
          </w:p>
        </w:tc>
        <w:tc>
          <w:tcPr>
            <w:tcW w:w="638" w:type="pct"/>
            <w:vMerge w:val="continue"/>
            <w:tcBorders>
              <w:left w:val="single" w:color="000000" w:sz="4" w:space="0"/>
              <w:bottom w:val="single" w:color="000000" w:sz="4" w:space="0"/>
              <w:right w:val="single" w:color="000000" w:sz="4" w:space="0"/>
            </w:tcBorders>
            <w:shd w:val="clear" w:color="auto" w:fill="auto"/>
            <w:vAlign w:val="center"/>
          </w:tcPr>
          <w:p w14:paraId="5B05EF80">
            <w:pPr>
              <w:jc w:val="center"/>
            </w:pPr>
          </w:p>
        </w:tc>
        <w:tc>
          <w:tcPr>
            <w:tcW w:w="389" w:type="pct"/>
            <w:vMerge w:val="continue"/>
            <w:tcBorders>
              <w:left w:val="single" w:color="000000" w:sz="4" w:space="0"/>
              <w:bottom w:val="single" w:color="000000" w:sz="4" w:space="0"/>
              <w:right w:val="single" w:color="000000" w:sz="4" w:space="0"/>
            </w:tcBorders>
            <w:shd w:val="clear" w:color="auto" w:fill="auto"/>
            <w:vAlign w:val="center"/>
          </w:tcPr>
          <w:p w14:paraId="5CFF8179">
            <w:pPr>
              <w:jc w:val="center"/>
            </w:pPr>
          </w:p>
        </w:tc>
        <w:tc>
          <w:tcPr>
            <w:tcW w:w="618" w:type="pct"/>
            <w:vMerge w:val="continue"/>
            <w:tcBorders>
              <w:left w:val="single" w:color="000000" w:sz="4" w:space="0"/>
              <w:bottom w:val="single" w:color="000000" w:sz="4" w:space="0"/>
              <w:right w:val="single" w:color="000000" w:sz="4" w:space="0"/>
            </w:tcBorders>
            <w:shd w:val="clear" w:color="auto" w:fill="auto"/>
            <w:vAlign w:val="center"/>
          </w:tcPr>
          <w:p w14:paraId="343EDAB1">
            <w:pPr>
              <w:jc w:val="center"/>
            </w:pPr>
          </w:p>
        </w:tc>
        <w:tc>
          <w:tcPr>
            <w:tcW w:w="615" w:type="pct"/>
            <w:vMerge w:val="continue"/>
            <w:tcBorders>
              <w:left w:val="single" w:color="000000" w:sz="4" w:space="0"/>
              <w:bottom w:val="single" w:color="000000" w:sz="4" w:space="0"/>
              <w:right w:val="single" w:color="000000" w:sz="4" w:space="0"/>
            </w:tcBorders>
            <w:shd w:val="clear" w:color="auto" w:fill="auto"/>
            <w:vAlign w:val="center"/>
          </w:tcPr>
          <w:p w14:paraId="5D75D207">
            <w:pPr>
              <w:jc w:val="cente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2D801">
            <w:pPr>
              <w:jc w:val="center"/>
              <w:rPr>
                <w:rFonts w:hint="eastAsia" w:eastAsiaTheme="minorEastAsia"/>
                <w:lang w:val="en-US" w:eastAsia="zh-CN"/>
              </w:rPr>
            </w:pPr>
            <w:r>
              <w:rPr>
                <w:rFonts w:hint="eastAsia"/>
                <w:lang w:val="en-US" w:eastAsia="zh-CN"/>
              </w:rPr>
              <w:t>储能集成</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BBF20">
            <w:pPr>
              <w:jc w:val="center"/>
            </w:pPr>
          </w:p>
        </w:tc>
      </w:tr>
      <w:tr w14:paraId="5F2AA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B82A8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1、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p w14:paraId="5C77B8FA">
            <w:pPr>
              <w:pStyle w:val="2"/>
              <w:ind w:firstLine="400" w:firstLineChars="200"/>
              <w:rPr>
                <w:rFonts w:hint="default"/>
                <w:lang w:val="en-US"/>
              </w:rPr>
            </w:pPr>
            <w:r>
              <w:rPr>
                <w:rFonts w:hint="eastAsia" w:ascii="宋体" w:hAnsi="宋体" w:eastAsia="宋体" w:cs="宋体"/>
                <w:i w:val="0"/>
                <w:iCs w:val="0"/>
                <w:color w:val="000000"/>
                <w:kern w:val="0"/>
                <w:sz w:val="20"/>
                <w:szCs w:val="20"/>
                <w:u w:val="none"/>
                <w:lang w:val="en-US" w:eastAsia="zh-CN" w:bidi="ar"/>
              </w:rPr>
              <w:t>2、其他未尽事宜详见图纸、采购文件、答疑文件、图集、政府相关文件及规范等其他文件。</w:t>
            </w:r>
          </w:p>
        </w:tc>
      </w:tr>
      <w:tr w14:paraId="286B5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110AFF8">
            <w:pPr>
              <w:jc w:val="left"/>
              <w:rPr>
                <w:rFonts w:hint="eastAsia" w:ascii="宋体" w:hAnsi="宋体" w:eastAsia="宋体" w:cs="宋体"/>
                <w:i w:val="0"/>
                <w:iCs w:val="0"/>
                <w:color w:val="000000"/>
                <w:sz w:val="22"/>
                <w:szCs w:val="22"/>
                <w:u w:val="none"/>
              </w:rPr>
            </w:pPr>
          </w:p>
        </w:tc>
      </w:tr>
      <w:tr w14:paraId="4E3CB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61A4B4">
            <w:pPr>
              <w:jc w:val="left"/>
              <w:rPr>
                <w:rFonts w:hint="eastAsia" w:ascii="宋体" w:hAnsi="宋体" w:eastAsia="宋体" w:cs="宋体"/>
                <w:i w:val="0"/>
                <w:iCs w:val="0"/>
                <w:color w:val="000000"/>
                <w:sz w:val="22"/>
                <w:szCs w:val="22"/>
                <w:u w:val="none"/>
              </w:rPr>
            </w:pPr>
          </w:p>
        </w:tc>
      </w:tr>
      <w:tr w14:paraId="712C7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D6D00CF">
            <w:pPr>
              <w:jc w:val="left"/>
              <w:rPr>
                <w:rFonts w:hint="eastAsia" w:ascii="宋体" w:hAnsi="宋体" w:eastAsia="宋体" w:cs="宋体"/>
                <w:i w:val="0"/>
                <w:iCs w:val="0"/>
                <w:color w:val="000000"/>
                <w:sz w:val="22"/>
                <w:szCs w:val="22"/>
                <w:u w:val="none"/>
              </w:rPr>
            </w:pPr>
          </w:p>
        </w:tc>
      </w:tr>
    </w:tbl>
    <w:p w14:paraId="3F01CF39">
      <w:pPr>
        <w:pStyle w:val="13"/>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推荐品牌：</w:t>
      </w:r>
    </w:p>
    <w:p w14:paraId="01C3B6F8">
      <w:pPr>
        <w:pStyle w:val="13"/>
        <w:keepNext w:val="0"/>
        <w:keepLines w:val="0"/>
        <w:pageBreakBefore w:val="0"/>
        <w:widowControl/>
        <w:numPr>
          <w:ilvl w:val="-1"/>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(1)储能电芯：宁德时代、亿纬锂能、海辰储能、远景动力、比亚迪、国轩高科、瑞浦兰钧、中创新航、鹏辉能源、湖北楚能；</w:t>
      </w:r>
    </w:p>
    <w:p w14:paraId="6ED2500B">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b w:val="0"/>
          <w:bCs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(2)储能集成：奇点能源、阳光电源、固德威能源、北人、弘正、天合储能、华致能源、宁德时代、亿纬锂能、海辰储能、远景动力、比亚迪、国轩高科、瑞浦兰钧、弗迪电池、鹏辉能源、楚能新能源、中创新航、赣锋锂电、为恒储能、科大讯飞；</w:t>
      </w:r>
    </w:p>
    <w:p w14:paraId="2BDDFAC2">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default" w:asciiTheme="minorEastAsia" w:hAnsiTheme="minorEastAsia" w:eastAsiaTheme="minorEastAsia" w:cstheme="minorEastAsia"/>
          <w:b w:val="0"/>
          <w:bCs w:val="0"/>
          <w:kern w:val="2"/>
          <w:sz w:val="28"/>
          <w:szCs w:val="28"/>
          <w:highlight w:val="none"/>
          <w:lang w:val="en-US" w:eastAsia="zh-CN" w:bidi="ar-SA"/>
        </w:rPr>
        <w:t>注：</w:t>
      </w:r>
      <w:r>
        <w:rPr>
          <w:rFonts w:hint="default" w:asciiTheme="minorEastAsia" w:hAnsiTheme="minorEastAsia" w:eastAsiaTheme="minorEastAsia" w:cstheme="minorEastAsia"/>
          <w:kern w:val="2"/>
          <w:sz w:val="28"/>
          <w:szCs w:val="28"/>
          <w:highlight w:val="none"/>
          <w:lang w:bidi="ar-SA"/>
        </w:rPr>
        <w:t>本章采购需求，凡涉及推荐品牌等表述的，均不具有限制性，推荐品牌只是为了说明该产品的技术规格及质量要求，供应商可自行选择其他品牌响应</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b/>
          <w:bCs/>
          <w:i w:val="0"/>
          <w:iCs w:val="0"/>
          <w:caps w:val="0"/>
          <w:color w:val="FF0000"/>
          <w:spacing w:val="0"/>
          <w:kern w:val="2"/>
          <w:sz w:val="28"/>
          <w:szCs w:val="28"/>
          <w:highlight w:val="none"/>
          <w:lang w:bidi="ar-SA"/>
        </w:rPr>
        <w:t>如供应商采用推荐品牌以外的其他</w:t>
      </w:r>
      <w:r>
        <w:rPr>
          <w:rFonts w:hint="eastAsia" w:asciiTheme="minorEastAsia" w:hAnsiTheme="minorEastAsia" w:eastAsiaTheme="minorEastAsia" w:cstheme="minorEastAsia"/>
          <w:b/>
          <w:bCs/>
          <w:i w:val="0"/>
          <w:iCs w:val="0"/>
          <w:caps w:val="0"/>
          <w:color w:val="FF0000"/>
          <w:spacing w:val="0"/>
          <w:kern w:val="2"/>
          <w:sz w:val="28"/>
          <w:szCs w:val="28"/>
          <w:highlight w:val="none"/>
          <w:lang w:val="en-US" w:eastAsia="zh-CN" w:bidi="ar-SA"/>
        </w:rPr>
        <w:t>品牌</w:t>
      </w:r>
      <w:r>
        <w:rPr>
          <w:rFonts w:hint="default" w:asciiTheme="minorEastAsia" w:hAnsiTheme="minorEastAsia" w:eastAsiaTheme="minorEastAsia" w:cstheme="minorEastAsia"/>
          <w:b/>
          <w:bCs/>
          <w:i w:val="0"/>
          <w:iCs w:val="0"/>
          <w:caps w:val="0"/>
          <w:color w:val="FF0000"/>
          <w:spacing w:val="0"/>
          <w:kern w:val="2"/>
          <w:sz w:val="28"/>
          <w:szCs w:val="28"/>
          <w:highlight w:val="none"/>
          <w:lang w:bidi="ar-SA"/>
        </w:rPr>
        <w:t>产品供货的，</w:t>
      </w:r>
      <w:r>
        <w:rPr>
          <w:rFonts w:hint="default" w:asciiTheme="minorEastAsia" w:hAnsiTheme="minorEastAsia" w:eastAsiaTheme="minorEastAsia" w:cstheme="minorEastAsia"/>
          <w:b/>
          <w:bCs/>
          <w:color w:val="FF0000"/>
          <w:kern w:val="2"/>
          <w:sz w:val="28"/>
          <w:szCs w:val="28"/>
          <w:highlight w:val="none"/>
          <w:lang w:bidi="ar-SA"/>
        </w:rPr>
        <w:t>应当在响应文件中提供技术证明材料，以证明响应产品的质量、性能、参数等相当于或优于推荐品牌，否则其响应无效</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i w:val="0"/>
          <w:iCs w:val="0"/>
          <w:caps w:val="0"/>
          <w:spacing w:val="0"/>
          <w:kern w:val="2"/>
          <w:sz w:val="28"/>
          <w:szCs w:val="28"/>
          <w:highlight w:val="none"/>
          <w:lang w:bidi="ar-SA"/>
        </w:rPr>
        <w:t>供货前</w:t>
      </w:r>
      <w:r>
        <w:rPr>
          <w:rFonts w:hint="eastAsia" w:asciiTheme="minorEastAsia" w:hAnsiTheme="minorEastAsia" w:eastAsiaTheme="minorEastAsia" w:cstheme="minorEastAsia"/>
          <w:i w:val="0"/>
          <w:iCs w:val="0"/>
          <w:caps w:val="0"/>
          <w:spacing w:val="0"/>
          <w:kern w:val="2"/>
          <w:sz w:val="28"/>
          <w:szCs w:val="28"/>
          <w:highlight w:val="none"/>
          <w:lang w:eastAsia="zh-CN" w:bidi="ar-SA"/>
        </w:rPr>
        <w:t>，</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供应商须将响应</w:t>
      </w:r>
      <w:r>
        <w:rPr>
          <w:rFonts w:hint="default" w:asciiTheme="minorEastAsia" w:hAnsiTheme="minorEastAsia" w:eastAsiaTheme="minorEastAsia" w:cstheme="minorEastAsia"/>
          <w:i w:val="0"/>
          <w:iCs w:val="0"/>
          <w:caps w:val="0"/>
          <w:spacing w:val="0"/>
          <w:kern w:val="2"/>
          <w:sz w:val="28"/>
          <w:szCs w:val="28"/>
          <w:highlight w:val="none"/>
          <w:lang w:bidi="ar-SA"/>
        </w:rPr>
        <w:t>产品技术</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资料</w:t>
      </w:r>
      <w:r>
        <w:rPr>
          <w:rFonts w:hint="default" w:asciiTheme="minorEastAsia" w:hAnsiTheme="minorEastAsia" w:eastAsiaTheme="minorEastAsia" w:cstheme="minorEastAsia"/>
          <w:i w:val="0"/>
          <w:iCs w:val="0"/>
          <w:caps w:val="0"/>
          <w:spacing w:val="0"/>
          <w:kern w:val="2"/>
          <w:sz w:val="28"/>
          <w:szCs w:val="28"/>
          <w:highlight w:val="none"/>
          <w:lang w:bidi="ar-SA"/>
        </w:rPr>
        <w:t>、检测报告等证明材料报送至建设单位、监理单位、总包单位，经过</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确认</w:t>
      </w:r>
      <w:r>
        <w:rPr>
          <w:rFonts w:hint="default" w:asciiTheme="minorEastAsia" w:hAnsiTheme="minorEastAsia" w:eastAsiaTheme="minorEastAsia" w:cstheme="minorEastAsia"/>
          <w:i w:val="0"/>
          <w:iCs w:val="0"/>
          <w:caps w:val="0"/>
          <w:spacing w:val="0"/>
          <w:kern w:val="2"/>
          <w:sz w:val="28"/>
          <w:szCs w:val="28"/>
          <w:highlight w:val="none"/>
          <w:lang w:bidi="ar-SA"/>
        </w:rPr>
        <w:t>后方可供货。</w:t>
      </w:r>
    </w:p>
    <w:p w14:paraId="400E38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212E36E8">
      <w:pPr>
        <w:pStyle w:val="2"/>
        <w:rPr>
          <w:rFonts w:hint="default"/>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亳药集团电子辐照灭菌项目1400kW光储充一体化项目储能设备采购（二次）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ATRD-2026-05号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300835209"/>
      <w:bookmarkStart w:id="242" w:name="_Toc247527827"/>
      <w:bookmarkStart w:id="243" w:name="_Toc152042576"/>
      <w:bookmarkStart w:id="244" w:name="_Toc144974856"/>
      <w:bookmarkStart w:id="245" w:name="_Toc15204578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27828"/>
      <w:bookmarkStart w:id="248" w:name="_Toc152045788"/>
      <w:bookmarkStart w:id="249" w:name="_Toc152042577"/>
      <w:bookmarkStart w:id="250" w:name="_Toc144974857"/>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27830"/>
      <w:bookmarkStart w:id="255" w:name="_Toc247514249"/>
      <w:bookmarkStart w:id="256" w:name="_Toc300835212"/>
      <w:bookmarkStart w:id="257" w:name="_Toc152042579"/>
      <w:bookmarkStart w:id="258" w:name="_Toc152045790"/>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000000" w:themeColor="text1"/>
          <w:szCs w:val="21"/>
          <w:u w:val="single"/>
          <w:lang w:val="en-US" w:eastAsia="zh-CN"/>
          <w14:textFill>
            <w14:solidFill>
              <w14:schemeClr w14:val="tx1"/>
            </w14:solidFill>
          </w14:textFill>
        </w:rPr>
        <w:t>亳药集团电子辐照灭菌项目1400kW光储充一体化项目储能设备采购（二次）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ATRD-2026-05号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供货期：采购人提交采购需求后7日历天内完成供货，按合同约定完成本项目全部工作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247514283"/>
      <w:bookmarkStart w:id="260" w:name="_Toc144974860"/>
      <w:bookmarkStart w:id="261" w:name="_Toc247527831"/>
      <w:bookmarkStart w:id="262" w:name="_Toc152042580"/>
      <w:bookmarkStart w:id="263" w:name="_Toc300835213"/>
      <w:bookmarkStart w:id="264" w:name="_Toc15204579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247514284"/>
      <w:bookmarkStart w:id="267" w:name="_Toc247527832"/>
      <w:bookmarkStart w:id="268" w:name="_Toc152042581"/>
      <w:bookmarkStart w:id="269" w:name="_Toc14497486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44974862"/>
      <w:bookmarkStart w:id="273" w:name="_Toc152045794"/>
      <w:bookmarkStart w:id="274" w:name="_Toc152042583"/>
      <w:bookmarkStart w:id="275" w:name="_Toc300835216"/>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152045795"/>
      <w:bookmarkStart w:id="280" w:name="_Toc247527835"/>
      <w:bookmarkStart w:id="281" w:name="_Toc247514287"/>
      <w:bookmarkStart w:id="282" w:name="_Toc300835218"/>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117DA776">
      <w:pPr>
        <w:pStyle w:val="4"/>
        <w:numPr>
          <w:ilvl w:val="0"/>
          <w:numId w:val="0"/>
        </w:numPr>
        <w:jc w:val="center"/>
        <w:rPr>
          <w:rFonts w:hint="eastAsia"/>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p w14:paraId="721F2D4A">
      <w:pPr>
        <w:numPr>
          <w:ilvl w:val="0"/>
          <w:numId w:val="0"/>
        </w:numPr>
        <w:rPr>
          <w:rFonts w:hint="eastAsia"/>
          <w:lang w:val="en-US" w:eastAsia="zh-CN"/>
        </w:rPr>
      </w:pPr>
    </w:p>
    <w:tbl>
      <w:tblPr>
        <w:tblStyle w:val="16"/>
        <w:tblW w:w="445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505"/>
        <w:gridCol w:w="2461"/>
        <w:gridCol w:w="819"/>
        <w:gridCol w:w="717"/>
        <w:gridCol w:w="870"/>
        <w:gridCol w:w="819"/>
        <w:gridCol w:w="426"/>
        <w:gridCol w:w="551"/>
      </w:tblGrid>
      <w:tr w14:paraId="7EB6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7A7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D67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8ED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F350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采购数量</w:t>
            </w:r>
          </w:p>
          <w:p w14:paraId="464107D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sz w:val="20"/>
                <w:szCs w:val="20"/>
                <w:u w:val="none"/>
                <w:lang w:val="en-US" w:eastAsia="zh-CN"/>
              </w:rPr>
              <w:t>（台）</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5BDED">
            <w:pPr>
              <w:pStyle w:val="2"/>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6E8D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含税单价</w:t>
            </w:r>
          </w:p>
          <w:p w14:paraId="02D9A3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（元/台）</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66F9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含税合价</w:t>
            </w:r>
          </w:p>
          <w:p w14:paraId="37B62A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w:t>
            </w:r>
          </w:p>
        </w:tc>
        <w:tc>
          <w:tcPr>
            <w:tcW w:w="63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4FE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r>
      <w:tr w14:paraId="59DB8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147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6AB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6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5CA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p>
        </w:tc>
        <w:tc>
          <w:tcPr>
            <w:tcW w:w="5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174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02B1A9">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226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00B9CB">
            <w:pPr>
              <w:jc w:val="center"/>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D1DB7">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储能电芯</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44D0A">
            <w:pPr>
              <w:jc w:val="center"/>
            </w:pPr>
          </w:p>
        </w:tc>
      </w:tr>
      <w:tr w14:paraId="542AD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6A71219">
            <w:pPr>
              <w:jc w:val="center"/>
              <w:rPr>
                <w:rFonts w:hint="eastAsia" w:ascii="宋体" w:hAnsi="宋体" w:eastAsia="宋体" w:cs="宋体"/>
                <w:i w:val="0"/>
                <w:iCs w:val="0"/>
                <w:color w:val="000000"/>
                <w:sz w:val="20"/>
                <w:szCs w:val="20"/>
                <w:u w:val="none"/>
              </w:rPr>
            </w:pPr>
          </w:p>
        </w:tc>
        <w:tc>
          <w:tcPr>
            <w:tcW w:w="334"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C9566FD">
            <w:pPr>
              <w:jc w:val="center"/>
            </w:pPr>
          </w:p>
        </w:tc>
        <w:tc>
          <w:tcPr>
            <w:tcW w:w="1623"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125A5C1">
            <w:pPr>
              <w:jc w:val="center"/>
            </w:pPr>
          </w:p>
        </w:tc>
        <w:tc>
          <w:tcPr>
            <w:tcW w:w="539"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5ADADE14">
            <w:pPr>
              <w:jc w:val="center"/>
            </w:pPr>
          </w:p>
        </w:tc>
        <w:tc>
          <w:tcPr>
            <w:tcW w:w="473"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29FD884D">
            <w:pPr>
              <w:jc w:val="center"/>
            </w:pPr>
          </w:p>
        </w:tc>
        <w:tc>
          <w:tcPr>
            <w:tcW w:w="574"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C5801C5">
            <w:pPr>
              <w:jc w:val="center"/>
            </w:pPr>
          </w:p>
        </w:tc>
        <w:tc>
          <w:tcPr>
            <w:tcW w:w="539"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9CE3638">
            <w:pPr>
              <w:jc w:val="center"/>
              <w:rPr>
                <w:rFonts w:hint="eastAsia" w:ascii="宋体" w:hAnsi="宋体" w:eastAsia="宋体" w:cs="宋体"/>
                <w:i w:val="0"/>
                <w:iCs w:val="0"/>
                <w:color w:val="000000"/>
                <w:sz w:val="20"/>
                <w:szCs w:val="20"/>
                <w:u w:val="none"/>
              </w:rPr>
            </w:pPr>
          </w:p>
        </w:tc>
        <w:tc>
          <w:tcPr>
            <w:tcW w:w="280" w:type="pct"/>
            <w:tcBorders>
              <w:top w:val="single" w:color="000000" w:sz="4" w:space="0"/>
              <w:left w:val="single" w:color="000000" w:sz="4" w:space="0"/>
              <w:bottom w:val="single" w:color="auto" w:sz="4" w:space="0"/>
              <w:right w:val="single" w:color="000000" w:sz="4" w:space="0"/>
            </w:tcBorders>
            <w:shd w:val="clear" w:color="auto" w:fill="auto"/>
            <w:vAlign w:val="center"/>
          </w:tcPr>
          <w:p w14:paraId="32E28BB7">
            <w:pPr>
              <w:jc w:val="center"/>
              <w:rPr>
                <w:rFonts w:hint="eastAsia" w:ascii="宋体" w:hAnsi="宋体" w:eastAsia="宋体" w:cs="宋体"/>
                <w:i w:val="0"/>
                <w:iCs w:val="0"/>
                <w:color w:val="000000"/>
                <w:sz w:val="20"/>
                <w:szCs w:val="20"/>
                <w:u w:val="none"/>
              </w:rPr>
            </w:pPr>
            <w:r>
              <w:rPr>
                <w:rFonts w:hint="eastAsia"/>
                <w:lang w:val="en-US" w:eastAsia="zh-CN"/>
              </w:rPr>
              <w:t>储能集成</w:t>
            </w:r>
          </w:p>
        </w:tc>
        <w:tc>
          <w:tcPr>
            <w:tcW w:w="358" w:type="pct"/>
            <w:tcBorders>
              <w:top w:val="single" w:color="000000" w:sz="4" w:space="0"/>
              <w:left w:val="single" w:color="000000" w:sz="4" w:space="0"/>
              <w:bottom w:val="single" w:color="auto" w:sz="4" w:space="0"/>
              <w:right w:val="single" w:color="000000" w:sz="4" w:space="0"/>
            </w:tcBorders>
            <w:shd w:val="clear" w:color="auto" w:fill="auto"/>
            <w:vAlign w:val="center"/>
          </w:tcPr>
          <w:p w14:paraId="78BABD30">
            <w:pPr>
              <w:jc w:val="center"/>
            </w:pPr>
          </w:p>
        </w:tc>
      </w:tr>
      <w:tr w14:paraId="019F3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center"/>
          </w:tcPr>
          <w:p w14:paraId="4820CCE4">
            <w:pPr>
              <w:keepNext w:val="0"/>
              <w:keepLines w:val="0"/>
              <w:widowControl/>
              <w:suppressLineNumbers w:val="0"/>
              <w:jc w:val="left"/>
              <w:textAlignment w:val="center"/>
              <w:rPr>
                <w:rFonts w:hint="eastAsia" w:ascii="宋体" w:hAnsi="宋体" w:eastAsia="宋体" w:cs="宋体"/>
                <w:i w:val="0"/>
                <w:iCs w:val="0"/>
                <w:color w:val="FF0000"/>
                <w:kern w:val="0"/>
                <w:sz w:val="20"/>
                <w:szCs w:val="20"/>
                <w:u w:val="none"/>
                <w:lang w:val="en-US" w:eastAsia="zh-CN" w:bidi="ar"/>
              </w:rPr>
            </w:pPr>
            <w:r>
              <w:rPr>
                <w:rFonts w:hint="eastAsia" w:ascii="宋体" w:hAnsi="宋体" w:eastAsia="宋体" w:cs="宋体"/>
                <w:i w:val="0"/>
                <w:iCs w:val="0"/>
                <w:color w:val="FF0000"/>
                <w:kern w:val="0"/>
                <w:sz w:val="20"/>
                <w:szCs w:val="20"/>
                <w:u w:val="none"/>
                <w:lang w:val="en-US" w:eastAsia="zh-CN" w:bidi="ar"/>
              </w:rPr>
              <w:t>备注：1、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p w14:paraId="7D7A7D5D">
            <w:pPr>
              <w:pStyle w:val="2"/>
              <w:ind w:firstLine="400" w:firstLineChars="200"/>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0"/>
                <w:szCs w:val="20"/>
                <w:u w:val="none"/>
                <w:lang w:val="en-US" w:eastAsia="zh-CN" w:bidi="ar"/>
              </w:rPr>
              <w:t>2、其他未尽事宜详见图纸、采购文件、答疑文件、图集、政府相关文件及规范等其他文件。</w:t>
            </w:r>
          </w:p>
        </w:tc>
      </w:tr>
    </w:tbl>
    <w:p w14:paraId="4887DF41">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44974864"/>
      <w:bookmarkStart w:id="285" w:name="_Toc247514288"/>
      <w:bookmarkStart w:id="286" w:name="_Toc247527836"/>
      <w:bookmarkStart w:id="287" w:name="_Toc152042585"/>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7116"/>
      <w:bookmarkStart w:id="293" w:name="_Toc246996373"/>
      <w:bookmarkStart w:id="294" w:name="_Toc247085891"/>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6370"/>
      <w:bookmarkStart w:id="297" w:name="_Toc246997113"/>
      <w:bookmarkStart w:id="298" w:name="_Toc247085888"/>
      <w:bookmarkStart w:id="299" w:name="_Toc296602615"/>
      <w:bookmarkStart w:id="300" w:name="_Toc144974878"/>
      <w:bookmarkStart w:id="301" w:name="_Toc300835226"/>
      <w:bookmarkStart w:id="302" w:name="_Toc247527850"/>
      <w:bookmarkStart w:id="303" w:name="_Toc152042599"/>
      <w:bookmarkStart w:id="304" w:name="_Toc247514302"/>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7114"/>
      <w:bookmarkStart w:id="307" w:name="_Toc246996371"/>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247527851"/>
      <w:bookmarkStart w:id="312" w:name="_Toc152042600"/>
      <w:bookmarkStart w:id="313" w:name="_Toc144974879"/>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3、提供供应商的信用中国查询证明的复印件或扫描件，加盖供应商单位公章。</w:t>
      </w:r>
    </w:p>
    <w:p w14:paraId="003DA8C1">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4、</w:t>
      </w:r>
      <w:r>
        <w:rPr>
          <w:rFonts w:hint="default" w:ascii="Times New Roman" w:hAnsi="Times New Roman"/>
          <w:b/>
          <w:bCs/>
          <w:color w:val="FF0000"/>
          <w:lang w:val="en-US" w:eastAsia="zh-CN"/>
        </w:rPr>
        <w:t>如供应商采用推荐品牌以外的其他</w:t>
      </w:r>
      <w:r>
        <w:rPr>
          <w:rFonts w:hint="eastAsia" w:ascii="Times New Roman" w:hAnsi="Times New Roman"/>
          <w:b/>
          <w:bCs/>
          <w:color w:val="FF0000"/>
          <w:lang w:val="en-US" w:eastAsia="zh-CN"/>
        </w:rPr>
        <w:t>品牌</w:t>
      </w:r>
      <w:r>
        <w:rPr>
          <w:rFonts w:hint="default" w:ascii="Times New Roman" w:hAnsi="Times New Roman"/>
          <w:b/>
          <w:bCs/>
          <w:color w:val="FF0000"/>
          <w:lang w:val="en-US" w:eastAsia="zh-CN"/>
        </w:rPr>
        <w:t>产品供货的，应当在响应文件中提供</w:t>
      </w:r>
    </w:p>
    <w:p w14:paraId="2B3078B4">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b/>
          <w:bCs/>
          <w:color w:val="FF0000"/>
          <w:lang w:val="en-US" w:eastAsia="zh-CN"/>
        </w:rPr>
        <w:t>技术证明材料，以证明响应产品的质量、性能、参数等相当于或优于推荐品牌，</w:t>
      </w:r>
    </w:p>
    <w:p w14:paraId="17D5223A">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b/>
          <w:bCs/>
          <w:color w:val="FF0000"/>
          <w:lang w:val="en-US" w:eastAsia="zh-CN"/>
        </w:rPr>
        <w:t>否则其响应无效</w:t>
      </w:r>
      <w:r>
        <w:rPr>
          <w:rFonts w:hint="eastAsia" w:ascii="Times New Roman" w:hAnsi="Times New Roman"/>
          <w:b/>
          <w:bCs/>
          <w:color w:val="FF0000"/>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CBBC100-3B4E-468A-ADE6-E93A76161B7D}"/>
  </w:font>
  <w:font w:name="Arial">
    <w:panose1 w:val="020B0604020202020204"/>
    <w:charset w:val="01"/>
    <w:family w:val="swiss"/>
    <w:pitch w:val="default"/>
    <w:sig w:usb0="E0002EFF" w:usb1="C000785B" w:usb2="00000009" w:usb3="00000000" w:csb0="400001FF" w:csb1="FFFF0000"/>
    <w:embedRegular r:id="rId2" w:fontKey="{2B62CE4F-67F3-4610-B06F-C483D076F729}"/>
  </w:font>
  <w:font w:name="黑体">
    <w:panose1 w:val="02010609060101010101"/>
    <w:charset w:val="86"/>
    <w:family w:val="auto"/>
    <w:pitch w:val="default"/>
    <w:sig w:usb0="800002BF" w:usb1="38CF7CFA" w:usb2="00000016" w:usb3="00000000" w:csb0="00040001" w:csb1="00000000"/>
    <w:embedRegular r:id="rId3" w:fontKey="{64C4CB72-0635-4D1A-951A-C2C274F5E5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AE4D21D-D762-43B7-BD71-A7BF58CACFC3}"/>
  </w:font>
  <w:font w:name="仿宋_GB2312">
    <w:panose1 w:val="02010609030101010101"/>
    <w:charset w:val="86"/>
    <w:family w:val="modern"/>
    <w:pitch w:val="default"/>
    <w:sig w:usb0="00000001" w:usb1="080E0000" w:usb2="00000000" w:usb3="00000000" w:csb0="00040000" w:csb1="00000000"/>
    <w:embedRegular r:id="rId5" w:fontKey="{9A5D2FC0-F074-42F2-8C93-C30DD839C7EA}"/>
  </w:font>
  <w:font w:name="方正小标宋简体">
    <w:panose1 w:val="03000509000000000000"/>
    <w:charset w:val="86"/>
    <w:family w:val="auto"/>
    <w:pitch w:val="default"/>
    <w:sig w:usb0="00000001" w:usb1="080E0000" w:usb2="00000000" w:usb3="00000000" w:csb0="00040000" w:csb1="00000000"/>
    <w:embedRegular r:id="rId6" w:fontKey="{3E2517B5-3079-45A6-9EBF-C0024A8CE714}"/>
  </w:font>
  <w:font w:name="楷体">
    <w:panose1 w:val="02010609060101010101"/>
    <w:charset w:val="86"/>
    <w:family w:val="auto"/>
    <w:pitch w:val="default"/>
    <w:sig w:usb0="800002BF" w:usb1="38CF7CFA" w:usb2="00000016" w:usb3="00000000" w:csb0="00040001" w:csb1="00000000"/>
    <w:embedRegular r:id="rId7" w:fontKey="{969C6C27-DED2-44EF-8610-2B0560DD3019}"/>
  </w:font>
  <w:font w:name="Wingdings 2">
    <w:panose1 w:val="05020102010507070707"/>
    <w:charset w:val="00"/>
    <w:family w:val="auto"/>
    <w:pitch w:val="default"/>
    <w:sig w:usb0="00000000" w:usb1="00000000" w:usb2="00000000" w:usb3="00000000" w:csb0="80000000" w:csb1="00000000"/>
    <w:embedRegular r:id="rId8" w:fontKey="{B8FD3354-41FA-4A2B-9365-797B5C0D416B}"/>
  </w:font>
  <w:font w:name="方正仿宋_GB2312">
    <w:panose1 w:val="02000000000000000000"/>
    <w:charset w:val="86"/>
    <w:family w:val="auto"/>
    <w:pitch w:val="default"/>
    <w:sig w:usb0="A00002BF" w:usb1="184F6CFA" w:usb2="00000012" w:usb3="00000000" w:csb0="00040001" w:csb1="00000000"/>
    <w:embedRegular r:id="rId9" w:fontKey="{152925B7-08C5-4F79-9E77-0ABD0703639C}"/>
  </w:font>
  <w:font w:name="仿宋">
    <w:panose1 w:val="02010609060101010101"/>
    <w:charset w:val="86"/>
    <w:family w:val="modern"/>
    <w:pitch w:val="default"/>
    <w:sig w:usb0="800002BF" w:usb1="38CF7CFA" w:usb2="00000016" w:usb3="00000000" w:csb0="00040001" w:csb1="00000000"/>
    <w:embedRegular r:id="rId10" w:fontKey="{517593BD-B391-4B47-AD9C-402907F24645}"/>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708F6"/>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7E494A"/>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B5316"/>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1244B"/>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3D7AF5"/>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B570DA"/>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26508"/>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D668E1"/>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4535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665CE"/>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71E09"/>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74DE4"/>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AF48B9"/>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04295"/>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A77A4"/>
    <w:rsid w:val="68D60630"/>
    <w:rsid w:val="68E00D76"/>
    <w:rsid w:val="68ED6FEF"/>
    <w:rsid w:val="68F00432"/>
    <w:rsid w:val="68F8555D"/>
    <w:rsid w:val="691D712E"/>
    <w:rsid w:val="6931512E"/>
    <w:rsid w:val="693D7F76"/>
    <w:rsid w:val="69434E61"/>
    <w:rsid w:val="697E7396"/>
    <w:rsid w:val="69916139"/>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162E7"/>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C0277B"/>
    <w:rsid w:val="7EE53C64"/>
    <w:rsid w:val="7F030EC3"/>
    <w:rsid w:val="7F541580"/>
    <w:rsid w:val="7F590594"/>
    <w:rsid w:val="7F667225"/>
    <w:rsid w:val="7F7B2EF8"/>
    <w:rsid w:val="7F7C7C94"/>
    <w:rsid w:val="7F7E49ED"/>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4731</Words>
  <Characters>5417</Characters>
  <Lines>0</Lines>
  <Paragraphs>0</Paragraphs>
  <TotalTime>2</TotalTime>
  <ScaleCrop>false</ScaleCrop>
  <LinksUpToDate>false</LinksUpToDate>
  <CharactersWithSpaces>5540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MyStic</cp:lastModifiedBy>
  <cp:lastPrinted>2026-02-02T07:47:00Z</cp:lastPrinted>
  <dcterms:modified xsi:type="dcterms:W3CDTF">2026-03-18T06:41:03Z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